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33" w:rightChars="-104"/>
        <w:jc w:val="center"/>
        <w:rPr>
          <w:rFonts w:ascii="小标宋" w:eastAsia="小标宋"/>
          <w:sz w:val="44"/>
          <w:szCs w:val="44"/>
        </w:rPr>
      </w:pPr>
      <w:r>
        <w:rPr>
          <w:rFonts w:hint="eastAsia" w:ascii="小标宋" w:eastAsia="小标宋"/>
          <w:sz w:val="44"/>
          <w:szCs w:val="44"/>
        </w:rPr>
        <w:t>广西壮族自治区第七地质队</w:t>
      </w:r>
    </w:p>
    <w:p>
      <w:pPr>
        <w:adjustRightInd w:val="0"/>
        <w:snapToGrid w:val="0"/>
        <w:spacing w:line="560" w:lineRule="exact"/>
        <w:ind w:right="-333" w:rightChars="-104"/>
        <w:jc w:val="center"/>
        <w:rPr>
          <w:rFonts w:ascii="小标宋" w:eastAsia="小标宋"/>
          <w:sz w:val="44"/>
          <w:szCs w:val="44"/>
        </w:rPr>
      </w:pPr>
      <w:r>
        <w:rPr>
          <w:rFonts w:hint="eastAsia" w:ascii="小标宋" w:eastAsia="小标宋"/>
          <w:sz w:val="44"/>
          <w:szCs w:val="44"/>
        </w:rPr>
        <w:t>2025年单位预算公开说明</w:t>
      </w:r>
    </w:p>
    <w:p>
      <w:pPr>
        <w:adjustRightInd w:val="0"/>
        <w:snapToGrid w:val="0"/>
        <w:spacing w:line="560" w:lineRule="exact"/>
        <w:ind w:right="-333" w:rightChars="-104"/>
        <w:jc w:val="center"/>
        <w:rPr>
          <w:rFonts w:ascii="微软雅黑" w:hAnsi="微软雅黑" w:eastAsia="微软雅黑"/>
          <w:bCs/>
          <w:sz w:val="44"/>
          <w:szCs w:val="44"/>
        </w:rPr>
      </w:pPr>
    </w:p>
    <w:p>
      <w:pPr>
        <w:adjustRightInd w:val="0"/>
        <w:snapToGrid w:val="0"/>
        <w:spacing w:line="600" w:lineRule="exact"/>
        <w:ind w:right="-333" w:rightChars="-104" w:firstLine="4160" w:firstLineChars="1300"/>
        <w:rPr>
          <w:rFonts w:ascii="黑体" w:hAnsi="黑体" w:eastAsia="黑体"/>
          <w:bCs/>
          <w:szCs w:val="32"/>
        </w:rPr>
      </w:pPr>
      <w:r>
        <w:rPr>
          <w:rFonts w:hint="eastAsia" w:ascii="黑体" w:hAnsi="黑体" w:eastAsia="黑体"/>
          <w:bCs/>
          <w:szCs w:val="32"/>
        </w:rPr>
        <w:t>目</w:t>
      </w:r>
      <w:r>
        <w:rPr>
          <w:rFonts w:hint="eastAsia" w:ascii="黑体" w:hAnsi="黑体" w:eastAsia="黑体"/>
          <w:bCs/>
          <w:szCs w:val="32"/>
          <w:lang w:val="en-US" w:eastAsia="zh-CN"/>
        </w:rPr>
        <w:t xml:space="preserve">  </w:t>
      </w:r>
      <w:r>
        <w:rPr>
          <w:rFonts w:hint="eastAsia" w:ascii="黑体" w:hAnsi="黑体" w:eastAsia="黑体"/>
          <w:bCs/>
          <w:szCs w:val="32"/>
        </w:rPr>
        <w:t>录</w:t>
      </w:r>
    </w:p>
    <w:p>
      <w:pPr>
        <w:adjustRightInd w:val="0"/>
        <w:snapToGrid w:val="0"/>
        <w:spacing w:line="560" w:lineRule="exact"/>
        <w:ind w:right="-333" w:rightChars="-104" w:firstLine="4160" w:firstLineChars="1300"/>
        <w:rPr>
          <w:rFonts w:ascii="黑体" w:hAnsi="黑体" w:eastAsia="黑体"/>
          <w:bCs/>
          <w:szCs w:val="32"/>
        </w:rPr>
      </w:pPr>
    </w:p>
    <w:p>
      <w:pPr>
        <w:adjustRightInd w:val="0"/>
        <w:snapToGrid w:val="0"/>
        <w:spacing w:line="560" w:lineRule="exact"/>
        <w:ind w:right="-333" w:rightChars="-104" w:firstLine="640" w:firstLineChars="200"/>
        <w:rPr>
          <w:rFonts w:ascii="黑体" w:hAnsi="黑体" w:eastAsia="黑体"/>
          <w:bCs/>
          <w:szCs w:val="32"/>
        </w:rPr>
      </w:pPr>
      <w:r>
        <w:rPr>
          <w:rFonts w:hint="eastAsia" w:ascii="黑体" w:hAnsi="黑体" w:eastAsia="黑体"/>
          <w:bCs/>
          <w:szCs w:val="32"/>
        </w:rPr>
        <w:t>第一部分：单位概况</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一、主要职责</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二、机构设置情况</w:t>
      </w:r>
    </w:p>
    <w:p>
      <w:pPr>
        <w:widowControl/>
        <w:spacing w:line="560" w:lineRule="exact"/>
        <w:ind w:left="1256" w:leftChars="200" w:hanging="616" w:hangingChars="200"/>
        <w:jc w:val="left"/>
        <w:rPr>
          <w:rFonts w:ascii="仿宋_GB2312" w:hAnsi="微软雅黑" w:cs="宋体"/>
          <w:spacing w:val="-6"/>
          <w:kern w:val="0"/>
          <w:szCs w:val="32"/>
        </w:rPr>
      </w:pPr>
      <w:r>
        <w:rPr>
          <w:rFonts w:hint="eastAsia" w:ascii="黑体" w:hAnsi="黑体" w:eastAsia="黑体"/>
          <w:spacing w:val="-6"/>
          <w:szCs w:val="32"/>
        </w:rPr>
        <w:t>第二部分：广西壮族自治区第七地质队</w:t>
      </w:r>
      <w:r>
        <w:rPr>
          <w:rFonts w:ascii="黑体" w:hAnsi="黑体" w:eastAsia="黑体"/>
          <w:spacing w:val="-6"/>
          <w:szCs w:val="32"/>
        </w:rPr>
        <w:t>202</w:t>
      </w:r>
      <w:r>
        <w:rPr>
          <w:rFonts w:hint="eastAsia" w:ascii="黑体" w:hAnsi="黑体" w:eastAsia="黑体"/>
          <w:spacing w:val="-6"/>
          <w:szCs w:val="32"/>
        </w:rPr>
        <w:t>5年单位预算情况说明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一、单位预算收支增减变化情况说明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二、单位预算收入总体情况说明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三、单位预算支出总体情况说明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四、政府性基金预算支出情况说明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五、国有资本经营预算支出情况说明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六、一般公共预算“三公”经费支出情况说明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七、事业单位机关运行经费预算安排情况说明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八、政府采购预算安排情况说明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九、国有资产占用情况说明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十、预算绩效目标情况说明</w:t>
      </w:r>
    </w:p>
    <w:p>
      <w:pPr>
        <w:widowControl/>
        <w:spacing w:line="560" w:lineRule="exact"/>
        <w:ind w:firstLine="640" w:firstLineChars="200"/>
        <w:jc w:val="left"/>
        <w:rPr>
          <w:rFonts w:ascii="黑体" w:hAnsi="黑体" w:eastAsia="黑体"/>
          <w:szCs w:val="32"/>
        </w:rPr>
      </w:pPr>
      <w:r>
        <w:rPr>
          <w:rFonts w:hint="eastAsia" w:ascii="黑体" w:hAnsi="黑体" w:eastAsia="黑体"/>
          <w:szCs w:val="32"/>
        </w:rPr>
        <w:t>第三部分：名词解释</w:t>
      </w:r>
    </w:p>
    <w:p>
      <w:pPr>
        <w:widowControl/>
        <w:spacing w:line="560" w:lineRule="exact"/>
        <w:ind w:firstLine="616" w:firstLineChars="200"/>
        <w:jc w:val="left"/>
        <w:rPr>
          <w:rFonts w:ascii="黑体" w:hAnsi="黑体" w:eastAsia="黑体"/>
          <w:spacing w:val="-6"/>
          <w:szCs w:val="32"/>
        </w:rPr>
      </w:pPr>
      <w:r>
        <w:rPr>
          <w:rFonts w:hint="eastAsia" w:ascii="黑体" w:hAnsi="黑体" w:eastAsia="黑体"/>
          <w:spacing w:val="-6"/>
          <w:szCs w:val="32"/>
        </w:rPr>
        <w:t>第四部分：广西壮族自治区第七地质队</w:t>
      </w:r>
      <w:r>
        <w:rPr>
          <w:rFonts w:ascii="黑体" w:hAnsi="黑体" w:eastAsia="黑体"/>
          <w:spacing w:val="-6"/>
          <w:szCs w:val="32"/>
        </w:rPr>
        <w:t>202</w:t>
      </w:r>
      <w:r>
        <w:rPr>
          <w:rFonts w:hint="eastAsia" w:ascii="黑体" w:hAnsi="黑体" w:eastAsia="黑体"/>
          <w:spacing w:val="-6"/>
          <w:szCs w:val="32"/>
        </w:rPr>
        <w:t>5年单位预算公开报表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表一：单位收支总体情况表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表二：单位收入总体情况表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表三：单位支出总体情况表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表四：财政拨款收支总体情况表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表五：一般公共预算支出情况表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表六：一般公共预算基本支出情况表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表七：财政拨款“三公”经费、会议费和培训费支出情况表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表八：政府性基金预算支出情况表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表九：国有资本经营预算支出情况表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表十：自治区本级项目绩效目标公开表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表十一：对下转移支付项目绩效目标公开表</w:t>
      </w:r>
    </w:p>
    <w:p>
      <w:pPr>
        <w:adjustRightInd w:val="0"/>
        <w:snapToGrid w:val="0"/>
        <w:spacing w:line="560" w:lineRule="exact"/>
        <w:ind w:right="-333" w:rightChars="-104" w:firstLine="640" w:firstLineChars="200"/>
        <w:rPr>
          <w:rFonts w:hint="eastAsia" w:ascii="黑体" w:hAnsi="黑体" w:eastAsia="黑体"/>
          <w:bCs/>
          <w:szCs w:val="32"/>
        </w:rPr>
      </w:pPr>
    </w:p>
    <w:p>
      <w:pPr>
        <w:adjustRightInd w:val="0"/>
        <w:snapToGrid w:val="0"/>
        <w:spacing w:line="560" w:lineRule="exact"/>
        <w:ind w:right="-333" w:rightChars="-104" w:firstLine="640" w:firstLineChars="200"/>
        <w:rPr>
          <w:rFonts w:ascii="黑体" w:hAnsi="黑体" w:eastAsia="黑体"/>
          <w:bCs/>
          <w:szCs w:val="32"/>
        </w:rPr>
      </w:pPr>
      <w:r>
        <w:rPr>
          <w:rFonts w:hint="eastAsia" w:ascii="黑体" w:hAnsi="黑体" w:eastAsia="黑体"/>
          <w:bCs/>
          <w:szCs w:val="32"/>
        </w:rPr>
        <w:t>第一部分：单位概况</w:t>
      </w:r>
    </w:p>
    <w:p>
      <w:pPr>
        <w:widowControl/>
        <w:spacing w:line="560" w:lineRule="exact"/>
        <w:ind w:firstLine="640" w:firstLineChars="200"/>
        <w:jc w:val="left"/>
        <w:rPr>
          <w:rFonts w:hint="eastAsia" w:ascii="楷体_GB2312" w:hAnsi="楷体_GB2312" w:eastAsia="楷体_GB2312" w:cs="楷体_GB2312"/>
          <w:szCs w:val="32"/>
        </w:rPr>
      </w:pPr>
      <w:r>
        <w:rPr>
          <w:rFonts w:hint="eastAsia" w:ascii="楷体_GB2312" w:hAnsi="楷体_GB2312" w:eastAsia="楷体_GB2312" w:cs="楷体_GB2312"/>
          <w:bCs/>
          <w:szCs w:val="32"/>
        </w:rPr>
        <w:t>一、单位</w:t>
      </w:r>
      <w:r>
        <w:rPr>
          <w:rFonts w:hint="eastAsia" w:ascii="楷体_GB2312" w:hAnsi="楷体_GB2312" w:eastAsia="楷体_GB2312" w:cs="楷体_GB2312"/>
          <w:szCs w:val="32"/>
        </w:rPr>
        <w:t>主要职能</w:t>
      </w:r>
    </w:p>
    <w:p>
      <w:pPr>
        <w:adjustRightInd w:val="0"/>
        <w:snapToGrid w:val="0"/>
        <w:spacing w:line="560" w:lineRule="exact"/>
        <w:ind w:right="-333" w:rightChars="-104" w:firstLine="640" w:firstLineChars="200"/>
        <w:rPr>
          <w:rFonts w:ascii="仿宋_GB2312" w:hAnsi="微软雅黑"/>
          <w:szCs w:val="32"/>
        </w:rPr>
      </w:pPr>
      <w:r>
        <w:rPr>
          <w:rFonts w:hint="eastAsia" w:ascii="仿宋_GB2312" w:hAnsi="微软雅黑"/>
          <w:szCs w:val="32"/>
        </w:rPr>
        <w:t>负责地质队（基地）的管理和服务工作，从事基础性公益性地质工作，为地质队（基地）离退休人员提供服务。</w:t>
      </w:r>
    </w:p>
    <w:p>
      <w:pPr>
        <w:widowControl/>
        <w:spacing w:line="560" w:lineRule="exact"/>
        <w:ind w:firstLine="640"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二、机构设置情况</w:t>
      </w:r>
    </w:p>
    <w:p>
      <w:pPr>
        <w:spacing w:line="560" w:lineRule="exact"/>
        <w:ind w:firstLine="640" w:firstLineChars="200"/>
        <w:rPr>
          <w:rFonts w:ascii="仿宋_GB2312" w:hAnsi="微软雅黑"/>
          <w:szCs w:val="32"/>
        </w:rPr>
      </w:pPr>
      <w:r>
        <w:rPr>
          <w:rFonts w:hint="eastAsia" w:ascii="仿宋_GB2312" w:hAnsi="微软雅黑"/>
          <w:szCs w:val="32"/>
        </w:rPr>
        <w:t>本单位为正处级财政全额拨款公益一类事业预算单位，由广西壮族自治区地质矿产勘查开发局主管。</w:t>
      </w:r>
      <w:r>
        <w:rPr>
          <w:rFonts w:ascii="仿宋_GB2312" w:hAnsi="微软雅黑"/>
          <w:szCs w:val="32"/>
        </w:rPr>
        <w:t>202</w:t>
      </w:r>
      <w:r>
        <w:rPr>
          <w:rFonts w:hint="eastAsia" w:ascii="仿宋_GB2312" w:hAnsi="微软雅黑"/>
          <w:szCs w:val="32"/>
        </w:rPr>
        <w:t>5年末共设置</w:t>
      </w:r>
      <w:r>
        <w:rPr>
          <w:rFonts w:ascii="仿宋_GB2312" w:hAnsi="微软雅黑"/>
          <w:szCs w:val="32"/>
        </w:rPr>
        <w:t>1</w:t>
      </w:r>
      <w:r>
        <w:rPr>
          <w:rFonts w:hint="eastAsia" w:ascii="仿宋_GB2312" w:hAnsi="微软雅黑"/>
          <w:szCs w:val="32"/>
        </w:rPr>
        <w:t>4个职能科室，两个服务部门，分别是：办公室、人事科、纪检审计科、财务科、物资保障科、综合研究办公室、地质勘查院、测绘地理信息院、水工环勘查院、工会、党群办、安全科、离退休人员工作科、基地管理科及学校、幼儿园两个服务部门。</w:t>
      </w:r>
    </w:p>
    <w:p>
      <w:pPr>
        <w:widowControl/>
        <w:spacing w:line="560" w:lineRule="exact"/>
        <w:ind w:firstLine="640" w:firstLineChars="200"/>
        <w:jc w:val="left"/>
        <w:rPr>
          <w:rFonts w:ascii="仿宋_GB2312" w:hAnsi="微软雅黑" w:cs="宋体"/>
          <w:kern w:val="0"/>
          <w:szCs w:val="32"/>
        </w:rPr>
      </w:pPr>
      <w:r>
        <w:rPr>
          <w:rFonts w:hint="eastAsia" w:ascii="黑体" w:hAnsi="黑体" w:eastAsia="黑体"/>
          <w:szCs w:val="32"/>
        </w:rPr>
        <w:t>第二部分：广西壮族自治区第七地质队</w:t>
      </w:r>
      <w:r>
        <w:rPr>
          <w:rFonts w:ascii="黑体" w:hAnsi="黑体" w:eastAsia="黑体"/>
          <w:szCs w:val="32"/>
        </w:rPr>
        <w:t>202</w:t>
      </w:r>
      <w:r>
        <w:rPr>
          <w:rFonts w:hint="eastAsia" w:ascii="黑体" w:hAnsi="黑体" w:eastAsia="黑体"/>
          <w:szCs w:val="32"/>
        </w:rPr>
        <w:t>5年单位预算情况说明</w:t>
      </w:r>
    </w:p>
    <w:p>
      <w:pPr>
        <w:widowControl/>
        <w:spacing w:line="560" w:lineRule="exact"/>
        <w:ind w:firstLine="640"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一、单位预算收支增减变化情况说明</w:t>
      </w:r>
    </w:p>
    <w:p>
      <w:pPr>
        <w:spacing w:line="560" w:lineRule="exact"/>
        <w:ind w:firstLine="640" w:firstLineChars="200"/>
        <w:rPr>
          <w:rFonts w:ascii="仿宋_GB2312" w:hAnsi="微软雅黑"/>
          <w:color w:val="000000" w:themeColor="text1"/>
          <w:szCs w:val="32"/>
        </w:rPr>
      </w:pPr>
      <w:r>
        <w:rPr>
          <w:rFonts w:ascii="仿宋_GB2312" w:hAnsi="微软雅黑"/>
          <w:color w:val="000000" w:themeColor="text1"/>
          <w:szCs w:val="32"/>
        </w:rPr>
        <w:t>202</w:t>
      </w:r>
      <w:r>
        <w:rPr>
          <w:rFonts w:hint="eastAsia" w:ascii="仿宋_GB2312" w:hAnsi="微软雅黑"/>
          <w:color w:val="000000" w:themeColor="text1"/>
          <w:szCs w:val="32"/>
        </w:rPr>
        <w:t>5年收支总预算5,580.56万元</w:t>
      </w:r>
      <w:r>
        <w:rPr>
          <w:rFonts w:hint="eastAsia" w:eastAsia="仿宋_GB2312"/>
          <w:sz w:val="32"/>
          <w:szCs w:val="32"/>
          <w:highlight w:val="none"/>
          <w:lang w:eastAsia="zh-CN"/>
        </w:rPr>
        <w:t>（不含财政拨款上年未列支结转收支数）</w:t>
      </w:r>
      <w:bookmarkStart w:id="1" w:name="_GoBack"/>
      <w:bookmarkEnd w:id="1"/>
      <w:r>
        <w:rPr>
          <w:rFonts w:hint="eastAsia" w:ascii="仿宋_GB2312" w:hAnsi="微软雅黑"/>
          <w:color w:val="000000" w:themeColor="text1"/>
          <w:szCs w:val="32"/>
        </w:rPr>
        <w:t>，同比减少663.10万元，下降了10.62</w:t>
      </w:r>
      <w:r>
        <w:rPr>
          <w:rFonts w:ascii="仿宋_GB2312" w:hAnsi="微软雅黑"/>
          <w:color w:val="000000" w:themeColor="text1"/>
          <w:szCs w:val="32"/>
        </w:rPr>
        <w:t>%</w:t>
      </w:r>
      <w:r>
        <w:rPr>
          <w:rFonts w:hint="eastAsia" w:ascii="仿宋_GB2312" w:hAnsi="微软雅黑"/>
          <w:color w:val="000000" w:themeColor="text1"/>
          <w:szCs w:val="32"/>
        </w:rPr>
        <w:t>。降低的原因主要是：绩效工资总量减少，在职人员同比2024年减少。</w:t>
      </w:r>
    </w:p>
    <w:p>
      <w:pPr>
        <w:tabs>
          <w:tab w:val="center" w:pos="4475"/>
        </w:tabs>
        <w:spacing w:line="560" w:lineRule="exact"/>
        <w:ind w:firstLine="640" w:firstLineChars="200"/>
        <w:rPr>
          <w:rFonts w:ascii="黑体" w:hAnsi="黑体" w:eastAsia="黑体" w:cs="黑体"/>
          <w:szCs w:val="32"/>
        </w:rPr>
      </w:pPr>
      <w:r>
        <w:rPr>
          <w:rFonts w:hint="eastAsia" w:ascii="楷体_GB2312" w:hAnsi="楷体_GB2312" w:eastAsia="楷体_GB2312" w:cs="楷体_GB2312"/>
          <w:bCs/>
          <w:szCs w:val="32"/>
        </w:rPr>
        <w:t>二、单位预算收入总体情况说明</w:t>
      </w:r>
    </w:p>
    <w:p>
      <w:pPr>
        <w:spacing w:line="560" w:lineRule="exact"/>
        <w:ind w:firstLine="640" w:firstLineChars="200"/>
        <w:rPr>
          <w:rFonts w:ascii="仿宋_GB2312" w:hAnsi="微软雅黑"/>
          <w:color w:val="000000" w:themeColor="text1"/>
          <w:szCs w:val="32"/>
        </w:rPr>
      </w:pPr>
      <w:r>
        <w:rPr>
          <w:rFonts w:ascii="仿宋_GB2312" w:hAnsi="微软雅黑"/>
          <w:color w:val="000000" w:themeColor="text1"/>
          <w:szCs w:val="32"/>
        </w:rPr>
        <w:t>202</w:t>
      </w:r>
      <w:r>
        <w:rPr>
          <w:rFonts w:hint="eastAsia" w:ascii="仿宋_GB2312" w:hAnsi="微软雅黑"/>
          <w:color w:val="000000" w:themeColor="text1"/>
          <w:szCs w:val="32"/>
        </w:rPr>
        <w:t>5年预算总收入5,580.56万</w:t>
      </w:r>
      <w:r>
        <w:rPr>
          <w:rFonts w:hint="eastAsia" w:ascii="仿宋_GB2312" w:hAnsi="微软雅黑"/>
          <w:szCs w:val="32"/>
        </w:rPr>
        <w:t>元，</w:t>
      </w:r>
      <w:r>
        <w:rPr>
          <w:rFonts w:hint="eastAsia" w:ascii="仿宋_GB2312" w:hAnsi="微软雅黑"/>
          <w:color w:val="000000" w:themeColor="text1"/>
          <w:szCs w:val="32"/>
        </w:rPr>
        <w:t>同比减少663.10万元，下降了10.62</w:t>
      </w:r>
      <w:r>
        <w:rPr>
          <w:rFonts w:ascii="仿宋_GB2312" w:hAnsi="微软雅黑"/>
          <w:color w:val="000000" w:themeColor="text1"/>
          <w:szCs w:val="32"/>
        </w:rPr>
        <w:t>%</w:t>
      </w:r>
      <w:r>
        <w:rPr>
          <w:rFonts w:hint="eastAsia" w:ascii="仿宋_GB2312" w:hAnsi="微软雅黑"/>
          <w:color w:val="000000" w:themeColor="text1"/>
          <w:szCs w:val="32"/>
        </w:rPr>
        <w:t>。其中：一般公共预算拨款5,077.50万元，同比减少了521.30万元，下降了9.31</w:t>
      </w:r>
      <w:r>
        <w:rPr>
          <w:rFonts w:ascii="仿宋_GB2312" w:hAnsi="微软雅黑"/>
          <w:color w:val="000000" w:themeColor="text1"/>
          <w:szCs w:val="32"/>
        </w:rPr>
        <w:t>%</w:t>
      </w:r>
      <w:r>
        <w:rPr>
          <w:rFonts w:hint="eastAsia" w:ascii="仿宋_GB2312" w:hAnsi="微软雅黑"/>
          <w:color w:val="000000" w:themeColor="text1"/>
          <w:szCs w:val="32"/>
        </w:rPr>
        <w:t>；主要原因是：绩效工资总量减少，在职人员同比2024年减少。</w:t>
      </w:r>
    </w:p>
    <w:p>
      <w:pPr>
        <w:spacing w:line="560" w:lineRule="exact"/>
        <w:ind w:firstLine="640" w:firstLineChars="200"/>
        <w:rPr>
          <w:rFonts w:ascii="仿宋_GB2312" w:hAnsi="微软雅黑"/>
          <w:color w:val="7030A0"/>
          <w:szCs w:val="32"/>
        </w:rPr>
      </w:pPr>
      <w:r>
        <w:rPr>
          <w:rFonts w:hint="eastAsia" w:ascii="仿宋_GB2312" w:hAnsi="微软雅黑"/>
          <w:color w:val="000000" w:themeColor="text1"/>
          <w:szCs w:val="32"/>
        </w:rPr>
        <w:t>单位资金收入为503.06万元，同比减少了141.80万元，下降了21.98</w:t>
      </w:r>
      <w:r>
        <w:rPr>
          <w:rFonts w:ascii="仿宋_GB2312" w:hAnsi="微软雅黑"/>
          <w:color w:val="000000" w:themeColor="text1"/>
          <w:szCs w:val="32"/>
        </w:rPr>
        <w:t>%</w:t>
      </w:r>
      <w:r>
        <w:rPr>
          <w:rFonts w:hint="eastAsia" w:ascii="仿宋_GB2312" w:hAnsi="微软雅黑"/>
          <w:color w:val="000000" w:themeColor="text1"/>
          <w:szCs w:val="32"/>
        </w:rPr>
        <w:t>，</w:t>
      </w:r>
      <w:r>
        <w:rPr>
          <w:rFonts w:hint="eastAsia" w:ascii="仿宋_GB2312" w:hAnsi="微软雅黑"/>
          <w:szCs w:val="32"/>
        </w:rPr>
        <w:t>减少的原因主要是：租赁费等其他收入减少。</w:t>
      </w:r>
    </w:p>
    <w:p>
      <w:pPr>
        <w:widowControl/>
        <w:spacing w:line="560" w:lineRule="exact"/>
        <w:ind w:firstLine="640"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三、单位预算支出总体情况说明</w:t>
      </w:r>
    </w:p>
    <w:p>
      <w:pPr>
        <w:spacing w:line="560" w:lineRule="exact"/>
        <w:ind w:firstLine="640" w:firstLineChars="200"/>
        <w:rPr>
          <w:rFonts w:ascii="仿宋_GB2312" w:hAnsi="微软雅黑"/>
          <w:color w:val="000000" w:themeColor="text1"/>
          <w:szCs w:val="32"/>
        </w:rPr>
      </w:pPr>
      <w:r>
        <w:rPr>
          <w:rFonts w:ascii="仿宋_GB2312" w:hAnsi="微软雅黑" w:cs="宋体"/>
          <w:color w:val="000000" w:themeColor="text1"/>
          <w:kern w:val="0"/>
          <w:szCs w:val="32"/>
        </w:rPr>
        <w:t>202</w:t>
      </w:r>
      <w:r>
        <w:rPr>
          <w:rFonts w:hint="eastAsia" w:ascii="仿宋_GB2312" w:hAnsi="微软雅黑" w:cs="宋体"/>
          <w:color w:val="000000" w:themeColor="text1"/>
          <w:kern w:val="0"/>
          <w:szCs w:val="32"/>
        </w:rPr>
        <w:t>5年预算总支出5,580.56万元。</w:t>
      </w:r>
      <w:r>
        <w:rPr>
          <w:rFonts w:hint="eastAsia" w:ascii="仿宋_GB2312" w:hAnsi="微软雅黑"/>
          <w:color w:val="000000" w:themeColor="text1"/>
          <w:szCs w:val="32"/>
        </w:rPr>
        <w:t>同比减少663.10万元，下降了10.62</w:t>
      </w:r>
      <w:r>
        <w:rPr>
          <w:rFonts w:ascii="仿宋_GB2312" w:hAnsi="微软雅黑"/>
          <w:color w:val="000000" w:themeColor="text1"/>
          <w:szCs w:val="32"/>
        </w:rPr>
        <w:t>%</w:t>
      </w:r>
      <w:r>
        <w:rPr>
          <w:rFonts w:hint="eastAsia" w:ascii="仿宋_GB2312" w:hAnsi="微软雅黑"/>
          <w:color w:val="000000" w:themeColor="text1"/>
          <w:szCs w:val="32"/>
        </w:rPr>
        <w:t>，下降主要原因是：绩效工资总量减少，在职人员同比2024年减少。</w:t>
      </w:r>
    </w:p>
    <w:p>
      <w:pPr>
        <w:spacing w:line="560" w:lineRule="exact"/>
        <w:ind w:firstLine="640" w:firstLineChars="200"/>
        <w:rPr>
          <w:rFonts w:hint="eastAsia" w:ascii="仿宋_GB2312" w:hAnsi="仿宋_GB2312" w:eastAsia="仿宋_GB2312" w:cs="仿宋_GB2312"/>
          <w:b w:val="0"/>
          <w:bCs/>
          <w:color w:val="000000" w:themeColor="text1"/>
          <w:szCs w:val="32"/>
        </w:rPr>
      </w:pPr>
      <w:r>
        <w:rPr>
          <w:rFonts w:hint="eastAsia" w:ascii="仿宋_GB2312" w:hAnsi="仿宋_GB2312" w:eastAsia="仿宋_GB2312" w:cs="仿宋_GB2312"/>
          <w:b w:val="0"/>
          <w:bCs/>
          <w:color w:val="000000" w:themeColor="text1"/>
          <w:szCs w:val="32"/>
        </w:rPr>
        <w:t>（一）总支出分类情况说明</w:t>
      </w:r>
    </w:p>
    <w:p>
      <w:pPr>
        <w:widowControl/>
        <w:spacing w:line="560" w:lineRule="exact"/>
        <w:ind w:firstLine="640" w:firstLineChars="200"/>
        <w:jc w:val="left"/>
        <w:rPr>
          <w:rFonts w:ascii="仿宋_GB2312" w:hAnsi="微软雅黑" w:cs="宋体"/>
          <w:kern w:val="0"/>
          <w:szCs w:val="32"/>
        </w:rPr>
      </w:pPr>
      <w:r>
        <w:rPr>
          <w:rFonts w:hint="eastAsia" w:ascii="仿宋_GB2312" w:hAnsi="微软雅黑" w:cs="宋体"/>
          <w:b w:val="0"/>
          <w:bCs/>
          <w:kern w:val="0"/>
          <w:szCs w:val="32"/>
        </w:rPr>
        <w:t>1.</w:t>
      </w:r>
      <w:r>
        <w:rPr>
          <w:rFonts w:hint="eastAsia" w:ascii="仿宋_GB2312" w:hAnsi="微软雅黑" w:cs="宋体"/>
          <w:kern w:val="0"/>
          <w:szCs w:val="32"/>
        </w:rPr>
        <w:t>按支出功能分类科目划分,共分为四类，其中：</w:t>
      </w:r>
    </w:p>
    <w:p>
      <w:pPr>
        <w:widowControl/>
        <w:spacing w:line="560" w:lineRule="exact"/>
        <w:ind w:firstLine="640" w:firstLineChars="200"/>
        <w:jc w:val="left"/>
        <w:rPr>
          <w:rFonts w:ascii="仿宋_GB2312" w:hAnsi="微软雅黑" w:cs="宋体"/>
          <w:color w:val="000000" w:themeColor="text1"/>
          <w:kern w:val="0"/>
          <w:szCs w:val="32"/>
        </w:rPr>
      </w:pPr>
      <w:r>
        <w:rPr>
          <w:rFonts w:hint="eastAsia" w:ascii="仿宋_GB2312" w:hAnsi="微软雅黑" w:cs="宋体"/>
          <w:kern w:val="0"/>
          <w:szCs w:val="32"/>
        </w:rPr>
        <w:t>（1</w:t>
      </w:r>
      <w:r>
        <w:rPr>
          <w:rFonts w:hint="eastAsia" w:ascii="仿宋_GB2312" w:hAnsi="微软雅黑" w:cs="宋体"/>
          <w:color w:val="000000" w:themeColor="text1"/>
          <w:kern w:val="0"/>
          <w:szCs w:val="32"/>
        </w:rPr>
        <w:t>）资源勘探工业信息等支出类科目支出4,921.48万元，占本年支出总预算88.19</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；同比减少780.23万元，下降13.68</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p>
    <w:p>
      <w:pPr>
        <w:widowControl/>
        <w:spacing w:line="560" w:lineRule="exact"/>
        <w:ind w:firstLine="640" w:firstLineChars="200"/>
        <w:jc w:val="left"/>
        <w:rPr>
          <w:rFonts w:ascii="仿宋_GB2312" w:hAnsi="微软雅黑" w:cs="宋体"/>
          <w:color w:val="000000" w:themeColor="text1"/>
          <w:kern w:val="0"/>
          <w:szCs w:val="32"/>
        </w:rPr>
      </w:pPr>
      <w:r>
        <w:rPr>
          <w:rFonts w:hint="eastAsia" w:ascii="仿宋_GB2312" w:hAnsi="微软雅黑" w:cs="宋体"/>
          <w:color w:val="000000" w:themeColor="text1"/>
          <w:kern w:val="0"/>
          <w:szCs w:val="32"/>
        </w:rPr>
        <w:t>（2）社会保障和就业支出类科目支出495.05万元，占本年支出总预算8.87</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；同比增加142.05万元，增长了40.24</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p>
    <w:p>
      <w:pPr>
        <w:widowControl/>
        <w:spacing w:line="560" w:lineRule="exact"/>
        <w:ind w:firstLine="640" w:firstLineChars="200"/>
        <w:jc w:val="left"/>
        <w:rPr>
          <w:rFonts w:ascii="仿宋_GB2312" w:hAnsi="微软雅黑" w:cs="宋体"/>
          <w:color w:val="000000" w:themeColor="text1"/>
          <w:kern w:val="0"/>
          <w:szCs w:val="32"/>
        </w:rPr>
      </w:pPr>
      <w:r>
        <w:rPr>
          <w:rFonts w:hint="eastAsia" w:ascii="仿宋_GB2312" w:hAnsi="微软雅黑" w:cs="宋体"/>
          <w:color w:val="000000" w:themeColor="text1"/>
          <w:kern w:val="0"/>
          <w:szCs w:val="32"/>
        </w:rPr>
        <w:t>（3）卫生健康支出类科目支出64.62万元，占本年支出总预算1.16</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，同比减少18.18万元，下降了21.95</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p>
    <w:p>
      <w:pPr>
        <w:widowControl/>
        <w:spacing w:line="560" w:lineRule="exact"/>
        <w:ind w:firstLine="640" w:firstLineChars="200"/>
        <w:jc w:val="left"/>
        <w:rPr>
          <w:rFonts w:ascii="仿宋_GB2312" w:hAnsi="微软雅黑" w:cs="宋体"/>
          <w:color w:val="000000" w:themeColor="text1"/>
          <w:kern w:val="0"/>
          <w:szCs w:val="32"/>
        </w:rPr>
      </w:pPr>
      <w:r>
        <w:rPr>
          <w:rFonts w:hint="eastAsia" w:ascii="仿宋_GB2312" w:hAnsi="微软雅黑" w:cs="宋体"/>
          <w:color w:val="000000" w:themeColor="text1"/>
          <w:kern w:val="0"/>
          <w:szCs w:val="32"/>
        </w:rPr>
        <w:t>（4）住房保障支出类科目支出99.41万元，占本年支出总预算1.78</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，同比减少6.74万元，下降了6.34</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p>
    <w:p>
      <w:pPr>
        <w:widowControl/>
        <w:spacing w:line="560" w:lineRule="exact"/>
        <w:ind w:firstLine="640" w:firstLineChars="200"/>
        <w:jc w:val="left"/>
        <w:rPr>
          <w:rFonts w:ascii="仿宋_GB2312" w:hAnsi="微软雅黑" w:cs="宋体"/>
          <w:color w:val="000000" w:themeColor="text1"/>
          <w:kern w:val="0"/>
          <w:szCs w:val="32"/>
        </w:rPr>
      </w:pPr>
      <w:r>
        <w:rPr>
          <w:rFonts w:hint="eastAsia" w:ascii="仿宋_GB2312" w:hAnsi="微软雅黑" w:cs="宋体"/>
          <w:b w:val="0"/>
          <w:bCs/>
          <w:color w:val="000000" w:themeColor="text1"/>
          <w:kern w:val="0"/>
          <w:szCs w:val="32"/>
        </w:rPr>
        <w:t>2.</w:t>
      </w:r>
      <w:r>
        <w:rPr>
          <w:rFonts w:hint="eastAsia" w:ascii="仿宋_GB2312" w:hAnsi="微软雅黑" w:cs="宋体"/>
          <w:color w:val="000000" w:themeColor="text1"/>
          <w:kern w:val="0"/>
          <w:szCs w:val="32"/>
        </w:rPr>
        <w:t>按支出结构分类划分，分为基本支出预算和项目支出预算</w:t>
      </w:r>
    </w:p>
    <w:p>
      <w:pPr>
        <w:widowControl/>
        <w:spacing w:line="560" w:lineRule="exact"/>
        <w:ind w:firstLine="640" w:firstLineChars="200"/>
        <w:jc w:val="left"/>
        <w:rPr>
          <w:rFonts w:ascii="仿宋_GB2312" w:hAnsi="宋体"/>
          <w:color w:val="000000" w:themeColor="text1"/>
          <w:szCs w:val="32"/>
        </w:rPr>
      </w:pPr>
      <w:r>
        <w:rPr>
          <w:rFonts w:hint="eastAsia" w:ascii="仿宋_GB2312" w:hAnsi="微软雅黑" w:cs="宋体"/>
          <w:color w:val="000000" w:themeColor="text1"/>
          <w:kern w:val="0"/>
          <w:szCs w:val="32"/>
        </w:rPr>
        <w:t>（1）基本支出预算</w:t>
      </w:r>
      <w:r>
        <w:rPr>
          <w:rFonts w:hint="eastAsia" w:ascii="仿宋_GB2312" w:hAnsi="宋体"/>
          <w:color w:val="000000" w:themeColor="text1"/>
          <w:szCs w:val="32"/>
        </w:rPr>
        <w:t>4,880.15万元，占本年支出预算87.45</w:t>
      </w:r>
      <w:r>
        <w:rPr>
          <w:rFonts w:ascii="仿宋_GB2312" w:hAnsi="宋体"/>
          <w:color w:val="000000" w:themeColor="text1"/>
          <w:szCs w:val="32"/>
        </w:rPr>
        <w:t>%</w:t>
      </w:r>
      <w:r>
        <w:rPr>
          <w:rFonts w:hint="eastAsia" w:ascii="仿宋_GB2312" w:hAnsi="宋体"/>
          <w:color w:val="000000" w:themeColor="text1"/>
          <w:szCs w:val="32"/>
        </w:rPr>
        <w:t>，同比减少519.32万元，下降9.61</w:t>
      </w:r>
      <w:r>
        <w:rPr>
          <w:rFonts w:ascii="仿宋_GB2312" w:hAnsi="宋体"/>
          <w:color w:val="000000" w:themeColor="text1"/>
          <w:szCs w:val="32"/>
        </w:rPr>
        <w:t>%</w:t>
      </w:r>
      <w:r>
        <w:rPr>
          <w:rFonts w:hint="eastAsia" w:ascii="仿宋_GB2312" w:hAnsi="宋体"/>
          <w:color w:val="000000" w:themeColor="text1"/>
          <w:szCs w:val="32"/>
        </w:rPr>
        <w:t>。</w:t>
      </w:r>
    </w:p>
    <w:p>
      <w:pPr>
        <w:widowControl/>
        <w:spacing w:line="560" w:lineRule="exact"/>
        <w:ind w:firstLine="640" w:firstLineChars="200"/>
        <w:jc w:val="left"/>
        <w:rPr>
          <w:rFonts w:ascii="仿宋_GB2312" w:hAnsi="宋体"/>
          <w:color w:val="000000" w:themeColor="text1"/>
          <w:szCs w:val="32"/>
        </w:rPr>
      </w:pPr>
      <w:r>
        <w:rPr>
          <w:rFonts w:hint="eastAsia" w:ascii="仿宋_GB2312" w:hAnsi="宋体"/>
          <w:color w:val="000000" w:themeColor="text1"/>
          <w:szCs w:val="32"/>
        </w:rPr>
        <w:t>（2）项目支出预算700.41万元，占本年支出预算12.55</w:t>
      </w:r>
      <w:r>
        <w:rPr>
          <w:rFonts w:ascii="仿宋_GB2312" w:hAnsi="宋体"/>
          <w:color w:val="000000" w:themeColor="text1"/>
          <w:szCs w:val="32"/>
        </w:rPr>
        <w:t>%</w:t>
      </w:r>
      <w:r>
        <w:rPr>
          <w:rFonts w:hint="eastAsia" w:ascii="仿宋_GB2312" w:hAnsi="宋体"/>
          <w:color w:val="000000" w:themeColor="text1"/>
          <w:szCs w:val="32"/>
        </w:rPr>
        <w:t>，同比减少143.78万元，下降17.03</w:t>
      </w:r>
      <w:r>
        <w:rPr>
          <w:rFonts w:ascii="仿宋_GB2312" w:hAnsi="宋体"/>
          <w:color w:val="000000" w:themeColor="text1"/>
          <w:szCs w:val="32"/>
        </w:rPr>
        <w:t>%</w:t>
      </w:r>
      <w:r>
        <w:rPr>
          <w:rFonts w:hint="eastAsia" w:ascii="仿宋_GB2312" w:hAnsi="宋体"/>
          <w:color w:val="000000" w:themeColor="text1"/>
          <w:szCs w:val="32"/>
        </w:rPr>
        <w:t>。</w:t>
      </w:r>
    </w:p>
    <w:p>
      <w:pPr>
        <w:spacing w:line="560" w:lineRule="exact"/>
        <w:ind w:firstLine="640" w:firstLineChars="200"/>
        <w:rPr>
          <w:rFonts w:hint="eastAsia" w:ascii="仿宋_GB2312" w:hAnsi="仿宋_GB2312" w:eastAsia="仿宋_GB2312" w:cs="仿宋_GB2312"/>
          <w:b w:val="0"/>
          <w:bCs/>
          <w:color w:val="000000" w:themeColor="text1"/>
          <w:szCs w:val="32"/>
        </w:rPr>
      </w:pPr>
      <w:r>
        <w:rPr>
          <w:rFonts w:hint="eastAsia" w:ascii="仿宋_GB2312" w:hAnsi="仿宋_GB2312" w:eastAsia="仿宋_GB2312" w:cs="仿宋_GB2312"/>
          <w:b w:val="0"/>
          <w:bCs/>
          <w:color w:val="000000" w:themeColor="text1"/>
          <w:szCs w:val="32"/>
        </w:rPr>
        <w:t>（二）财政拨款收支总体情况说明</w:t>
      </w:r>
    </w:p>
    <w:p>
      <w:pPr>
        <w:spacing w:line="560" w:lineRule="exact"/>
        <w:ind w:firstLine="640" w:firstLineChars="200"/>
        <w:rPr>
          <w:rFonts w:ascii="仿宋_GB2312" w:hAnsi="微软雅黑"/>
          <w:color w:val="000000" w:themeColor="text1"/>
          <w:szCs w:val="32"/>
        </w:rPr>
      </w:pPr>
      <w:r>
        <w:rPr>
          <w:rFonts w:ascii="仿宋_GB2312" w:hAnsi="微软雅黑" w:cs="宋体"/>
          <w:color w:val="000000" w:themeColor="text1"/>
          <w:kern w:val="0"/>
          <w:szCs w:val="32"/>
        </w:rPr>
        <w:t>202</w:t>
      </w:r>
      <w:r>
        <w:rPr>
          <w:rFonts w:hint="eastAsia" w:ascii="仿宋_GB2312" w:hAnsi="微软雅黑" w:cs="宋体"/>
          <w:color w:val="000000" w:themeColor="text1"/>
          <w:kern w:val="0"/>
          <w:szCs w:val="32"/>
        </w:rPr>
        <w:t>5年财政拨款收支总预算5,077.50万元，同比减少521.30万元，下降了9.31</w:t>
      </w:r>
      <w:r>
        <w:rPr>
          <w:rFonts w:ascii="仿宋_GB2312" w:hAnsi="微软雅黑" w:cs="宋体"/>
          <w:color w:val="000000" w:themeColor="text1"/>
          <w:kern w:val="0"/>
          <w:szCs w:val="32"/>
        </w:rPr>
        <w:t>%</w:t>
      </w:r>
      <w:r>
        <w:rPr>
          <w:rFonts w:hint="eastAsia" w:ascii="仿宋_GB2312" w:hAnsi="宋体"/>
          <w:color w:val="000000" w:themeColor="text1"/>
          <w:szCs w:val="32"/>
        </w:rPr>
        <w:t>；下降原因主要是：</w:t>
      </w:r>
      <w:r>
        <w:rPr>
          <w:rFonts w:hint="eastAsia" w:ascii="仿宋_GB2312" w:hAnsi="微软雅黑"/>
          <w:color w:val="000000" w:themeColor="text1"/>
          <w:szCs w:val="32"/>
        </w:rPr>
        <w:t>绩效工资总量减少，在职人员同比2024年减少。</w:t>
      </w:r>
      <w:r>
        <w:rPr>
          <w:rFonts w:hint="eastAsia" w:ascii="仿宋_GB2312" w:hAnsi="仿宋" w:cs="宋体"/>
          <w:color w:val="000000" w:themeColor="text1"/>
          <w:szCs w:val="32"/>
        </w:rPr>
        <w:t>收入全部为一般公共预算拨款，</w:t>
      </w:r>
      <w:r>
        <w:rPr>
          <w:rFonts w:hint="eastAsia" w:ascii="仿宋_GB2312" w:hAnsi="宋体"/>
          <w:color w:val="000000" w:themeColor="text1"/>
          <w:szCs w:val="32"/>
        </w:rPr>
        <w:t>支出包括资源勘探工业信息等支出</w:t>
      </w:r>
      <w:r>
        <w:rPr>
          <w:rFonts w:hint="eastAsia" w:ascii="仿宋_GB2312" w:hAnsi="微软雅黑" w:cs="宋体"/>
          <w:color w:val="000000" w:themeColor="text1"/>
          <w:kern w:val="0"/>
          <w:szCs w:val="32"/>
        </w:rPr>
        <w:t>4,418.42</w:t>
      </w:r>
      <w:r>
        <w:rPr>
          <w:rFonts w:hint="eastAsia" w:ascii="仿宋_GB2312" w:hAnsi="宋体"/>
          <w:color w:val="000000" w:themeColor="text1"/>
          <w:szCs w:val="32"/>
        </w:rPr>
        <w:t>万元，占本年支出预算87.02%，同比减少</w:t>
      </w:r>
      <w:r>
        <w:rPr>
          <w:rFonts w:hint="eastAsia" w:ascii="仿宋_GB2312" w:hAnsi="微软雅黑" w:cs="宋体"/>
          <w:color w:val="000000" w:themeColor="text1"/>
          <w:kern w:val="0"/>
          <w:szCs w:val="32"/>
        </w:rPr>
        <w:t>638.43</w:t>
      </w:r>
      <w:r>
        <w:rPr>
          <w:rFonts w:hint="eastAsia" w:ascii="仿宋_GB2312" w:hAnsi="宋体"/>
          <w:color w:val="000000" w:themeColor="text1"/>
          <w:szCs w:val="32"/>
        </w:rPr>
        <w:t>万元，下降</w:t>
      </w:r>
      <w:r>
        <w:rPr>
          <w:rFonts w:hint="eastAsia" w:ascii="仿宋_GB2312" w:hAnsi="微软雅黑" w:cs="宋体"/>
          <w:color w:val="000000" w:themeColor="text1"/>
          <w:kern w:val="0"/>
          <w:szCs w:val="32"/>
        </w:rPr>
        <w:t>12.62</w:t>
      </w:r>
      <w:r>
        <w:rPr>
          <w:rFonts w:hint="eastAsia" w:ascii="仿宋_GB2312" w:hAnsi="宋体"/>
          <w:color w:val="000000" w:themeColor="text1"/>
          <w:szCs w:val="32"/>
        </w:rPr>
        <w:t>%；社</w:t>
      </w:r>
      <w:r>
        <w:rPr>
          <w:rFonts w:hint="eastAsia" w:ascii="仿宋_GB2312" w:hAnsi="微软雅黑" w:cs="宋体"/>
          <w:color w:val="000000" w:themeColor="text1"/>
          <w:kern w:val="0"/>
          <w:szCs w:val="32"/>
        </w:rPr>
        <w:t>会保障和就业支出495.05万元，占本年支出预算9.75</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；同比增加142.05万元，增长了40.24</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；卫生健康支出64.62万元，占本年支出预算1.27</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，同比减少18.18万元，下降了21.95</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；住房保障支出99.41万元，占本年支出预算1.96</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，减少6.74万元，下降了6.34</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p>
    <w:p>
      <w:pPr>
        <w:spacing w:line="560" w:lineRule="exact"/>
        <w:ind w:firstLine="640" w:firstLineChars="200"/>
        <w:rPr>
          <w:rFonts w:hint="eastAsia" w:ascii="仿宋_GB2312" w:hAnsi="仿宋_GB2312" w:eastAsia="仿宋_GB2312" w:cs="仿宋_GB2312"/>
          <w:b w:val="0"/>
          <w:bCs/>
          <w:color w:val="000000" w:themeColor="text1"/>
          <w:szCs w:val="32"/>
        </w:rPr>
      </w:pPr>
      <w:r>
        <w:rPr>
          <w:rFonts w:hint="eastAsia" w:ascii="仿宋_GB2312" w:hAnsi="仿宋_GB2312" w:eastAsia="仿宋_GB2312" w:cs="仿宋_GB2312"/>
          <w:b w:val="0"/>
          <w:bCs/>
          <w:color w:val="000000" w:themeColor="text1"/>
          <w:szCs w:val="32"/>
        </w:rPr>
        <w:t>（三）一般公共预算支出情况说明</w:t>
      </w:r>
    </w:p>
    <w:p>
      <w:pPr>
        <w:spacing w:line="560" w:lineRule="exact"/>
        <w:ind w:firstLine="640" w:firstLineChars="200"/>
        <w:rPr>
          <w:rFonts w:ascii="仿宋_GB2312" w:hAnsi="微软雅黑"/>
          <w:color w:val="000000" w:themeColor="text1"/>
          <w:szCs w:val="32"/>
        </w:rPr>
      </w:pPr>
      <w:r>
        <w:rPr>
          <w:rFonts w:ascii="仿宋_GB2312" w:hAnsi="微软雅黑" w:cs="宋体"/>
          <w:color w:val="000000" w:themeColor="text1"/>
          <w:kern w:val="0"/>
          <w:szCs w:val="32"/>
        </w:rPr>
        <w:t>202</w:t>
      </w:r>
      <w:r>
        <w:rPr>
          <w:rFonts w:hint="eastAsia" w:ascii="仿宋_GB2312" w:hAnsi="微软雅黑" w:cs="宋体"/>
          <w:color w:val="000000" w:themeColor="text1"/>
          <w:kern w:val="0"/>
          <w:szCs w:val="32"/>
        </w:rPr>
        <w:t>5年一般公共预算拨款支出5,077.50万元，同比减少521.30万元，下降了9.31</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r>
        <w:rPr>
          <w:rFonts w:hint="eastAsia" w:ascii="仿宋_GB2312" w:hAnsi="宋体"/>
          <w:szCs w:val="32"/>
        </w:rPr>
        <w:t>其中，基本支出预</w:t>
      </w:r>
      <w:r>
        <w:rPr>
          <w:rFonts w:hint="eastAsia" w:ascii="仿宋_GB2312" w:hAnsi="宋体"/>
          <w:color w:val="000000" w:themeColor="text1"/>
          <w:szCs w:val="32"/>
        </w:rPr>
        <w:t>算4,880.15万元，占本年支出预算</w:t>
      </w:r>
      <w:r>
        <w:rPr>
          <w:rFonts w:ascii="仿宋_GB2312" w:hAnsi="宋体"/>
          <w:color w:val="000000" w:themeColor="text1"/>
          <w:szCs w:val="32"/>
        </w:rPr>
        <w:t>9</w:t>
      </w:r>
      <w:r>
        <w:rPr>
          <w:rFonts w:hint="eastAsia" w:ascii="仿宋_GB2312" w:hAnsi="宋体"/>
          <w:color w:val="000000" w:themeColor="text1"/>
          <w:szCs w:val="32"/>
        </w:rPr>
        <w:t>6.11</w:t>
      </w:r>
      <w:r>
        <w:rPr>
          <w:rFonts w:ascii="仿宋_GB2312" w:hAnsi="宋体"/>
          <w:color w:val="000000" w:themeColor="text1"/>
          <w:szCs w:val="32"/>
        </w:rPr>
        <w:t>%</w:t>
      </w:r>
      <w:r>
        <w:rPr>
          <w:rFonts w:hint="eastAsia" w:ascii="仿宋_GB2312" w:hAnsi="宋体"/>
          <w:color w:val="000000" w:themeColor="text1"/>
          <w:szCs w:val="32"/>
        </w:rPr>
        <w:t>，同比减少519.32万元，下降了9.61</w:t>
      </w:r>
      <w:r>
        <w:rPr>
          <w:rFonts w:ascii="仿宋_GB2312" w:hAnsi="宋体"/>
          <w:color w:val="000000" w:themeColor="text1"/>
          <w:szCs w:val="32"/>
        </w:rPr>
        <w:t>%</w:t>
      </w:r>
      <w:r>
        <w:rPr>
          <w:rFonts w:hint="eastAsia" w:ascii="仿宋_GB2312" w:hAnsi="宋体"/>
          <w:color w:val="000000" w:themeColor="text1"/>
          <w:szCs w:val="32"/>
        </w:rPr>
        <w:t>。项目支出预算197.35万元，占本年支出预算3.89</w:t>
      </w:r>
      <w:r>
        <w:rPr>
          <w:rFonts w:ascii="仿宋_GB2312" w:hAnsi="宋体"/>
          <w:color w:val="000000" w:themeColor="text1"/>
          <w:szCs w:val="32"/>
        </w:rPr>
        <w:t>%</w:t>
      </w:r>
      <w:r>
        <w:rPr>
          <w:rFonts w:hint="eastAsia" w:ascii="仿宋_GB2312" w:hAnsi="宋体"/>
          <w:color w:val="000000" w:themeColor="text1"/>
          <w:szCs w:val="32"/>
        </w:rPr>
        <w:t>，同比减少1.98万元，下降0.99</w:t>
      </w:r>
      <w:r>
        <w:rPr>
          <w:rFonts w:ascii="仿宋_GB2312" w:hAnsi="宋体"/>
          <w:color w:val="000000" w:themeColor="text1"/>
          <w:szCs w:val="32"/>
        </w:rPr>
        <w:t>%</w:t>
      </w:r>
      <w:r>
        <w:rPr>
          <w:rFonts w:hint="eastAsia" w:ascii="仿宋_GB2312" w:hAnsi="宋体"/>
          <w:color w:val="000000" w:themeColor="text1"/>
          <w:szCs w:val="32"/>
        </w:rPr>
        <w:t>。降低原因主要是：</w:t>
      </w:r>
      <w:r>
        <w:rPr>
          <w:rFonts w:hint="eastAsia" w:ascii="仿宋_GB2312" w:hAnsi="微软雅黑"/>
          <w:color w:val="000000" w:themeColor="text1"/>
          <w:szCs w:val="32"/>
        </w:rPr>
        <w:t>绩效工资总量减少，在职人员同比2024年减少。</w:t>
      </w:r>
      <w:r>
        <w:rPr>
          <w:rFonts w:hint="eastAsia" w:ascii="仿宋_GB2312" w:hAnsi="仿宋" w:cs="宋体"/>
          <w:color w:val="000000" w:themeColor="text1"/>
          <w:szCs w:val="32"/>
        </w:rPr>
        <w:t>具体支出预算如下：</w:t>
      </w:r>
    </w:p>
    <w:p>
      <w:pPr>
        <w:tabs>
          <w:tab w:val="center" w:pos="4475"/>
        </w:tabs>
        <w:spacing w:line="560" w:lineRule="exact"/>
        <w:ind w:firstLine="645"/>
        <w:rPr>
          <w:rFonts w:ascii="仿宋_GB2312" w:hAnsi="宋体"/>
          <w:color w:val="000000" w:themeColor="text1"/>
          <w:szCs w:val="32"/>
        </w:rPr>
      </w:pPr>
      <w:r>
        <w:rPr>
          <w:rFonts w:hint="eastAsia" w:ascii="仿宋_GB2312" w:hAnsi="宋体"/>
          <w:b w:val="0"/>
          <w:bCs/>
          <w:color w:val="000000" w:themeColor="text1"/>
          <w:szCs w:val="32"/>
        </w:rPr>
        <w:t>1.</w:t>
      </w:r>
      <w:r>
        <w:rPr>
          <w:rFonts w:hint="eastAsia" w:ascii="仿宋_GB2312" w:hAnsi="宋体"/>
          <w:color w:val="000000" w:themeColor="text1"/>
          <w:szCs w:val="32"/>
        </w:rPr>
        <w:t>事业单位离退休296.23万元，全部是基本支出预算。主要用于本单位离退休人员的经费支出。</w:t>
      </w:r>
    </w:p>
    <w:p>
      <w:pPr>
        <w:tabs>
          <w:tab w:val="center" w:pos="4475"/>
        </w:tabs>
        <w:spacing w:line="560" w:lineRule="exact"/>
        <w:ind w:firstLine="645"/>
        <w:rPr>
          <w:rFonts w:ascii="仿宋_GB2312" w:hAnsi="宋体"/>
          <w:szCs w:val="32"/>
        </w:rPr>
      </w:pPr>
      <w:r>
        <w:rPr>
          <w:rFonts w:hint="eastAsia" w:ascii="仿宋_GB2312" w:hAnsi="宋体"/>
          <w:b w:val="0"/>
          <w:bCs/>
          <w:color w:val="000000" w:themeColor="text1"/>
          <w:szCs w:val="32"/>
        </w:rPr>
        <w:t>2.</w:t>
      </w:r>
      <w:r>
        <w:rPr>
          <w:rFonts w:hint="eastAsia" w:ascii="仿宋_GB2312" w:hAnsi="宋体"/>
          <w:color w:val="000000" w:themeColor="text1"/>
          <w:szCs w:val="32"/>
        </w:rPr>
        <w:t>机关事业单位基本养老保险缴费支出132.55万元，全部是</w:t>
      </w:r>
      <w:r>
        <w:rPr>
          <w:rFonts w:hint="eastAsia" w:ascii="仿宋_GB2312" w:hAnsi="宋体"/>
          <w:szCs w:val="32"/>
        </w:rPr>
        <w:t>基本支出预算。主要用于支付本单位在职职工的单位养老保险费用。</w:t>
      </w:r>
    </w:p>
    <w:p>
      <w:pPr>
        <w:tabs>
          <w:tab w:val="center" w:pos="4475"/>
        </w:tabs>
        <w:spacing w:line="560" w:lineRule="exact"/>
        <w:ind w:firstLine="645"/>
        <w:rPr>
          <w:rFonts w:ascii="仿宋_GB2312" w:hAnsi="宋体"/>
          <w:color w:val="000000" w:themeColor="text1"/>
          <w:szCs w:val="32"/>
        </w:rPr>
      </w:pPr>
      <w:r>
        <w:rPr>
          <w:rFonts w:hint="eastAsia" w:ascii="仿宋_GB2312" w:hAnsi="宋体"/>
          <w:b w:val="0"/>
          <w:bCs/>
          <w:szCs w:val="32"/>
        </w:rPr>
        <w:t>3.</w:t>
      </w:r>
      <w:r>
        <w:rPr>
          <w:rFonts w:ascii="仿宋_GB2312" w:hAnsi="宋体"/>
          <w:szCs w:val="32"/>
        </w:rPr>
        <w:t>机关事业单位职业年金缴费支出</w:t>
      </w:r>
      <w:r>
        <w:rPr>
          <w:rFonts w:hint="eastAsia" w:ascii="仿宋_GB2312" w:hAnsi="宋体"/>
          <w:color w:val="000000" w:themeColor="text1"/>
          <w:szCs w:val="32"/>
        </w:rPr>
        <w:t>66.27万元，全部是基本支出预算。主要用于支付本单位在职职工单位职业年金费用。</w:t>
      </w:r>
    </w:p>
    <w:p>
      <w:pPr>
        <w:tabs>
          <w:tab w:val="center" w:pos="4475"/>
        </w:tabs>
        <w:spacing w:line="560" w:lineRule="exact"/>
        <w:ind w:firstLine="640" w:firstLineChars="200"/>
        <w:rPr>
          <w:rFonts w:ascii="仿宋_GB2312" w:hAnsi="宋体"/>
          <w:color w:val="000000" w:themeColor="text1"/>
          <w:szCs w:val="32"/>
        </w:rPr>
      </w:pPr>
      <w:r>
        <w:rPr>
          <w:rFonts w:hint="eastAsia" w:ascii="仿宋_GB2312" w:hAnsi="宋体"/>
          <w:b w:val="0"/>
          <w:bCs/>
          <w:color w:val="000000" w:themeColor="text1"/>
          <w:szCs w:val="32"/>
        </w:rPr>
        <w:t>4.</w:t>
      </w:r>
      <w:r>
        <w:rPr>
          <w:rFonts w:hint="eastAsia" w:ascii="仿宋_GB2312" w:hAnsi="宋体"/>
          <w:color w:val="000000" w:themeColor="text1"/>
          <w:szCs w:val="32"/>
        </w:rPr>
        <w:t>事业单位医疗64.62万元，全部是基本支出预算。根据自治区统一规定，按非参公事业单位在职职工工资总额的规定比例缴纳的基本医疗保险缴费经费。</w:t>
      </w:r>
    </w:p>
    <w:p>
      <w:pPr>
        <w:tabs>
          <w:tab w:val="center" w:pos="4475"/>
        </w:tabs>
        <w:spacing w:line="560" w:lineRule="exact"/>
        <w:ind w:firstLine="645"/>
        <w:rPr>
          <w:rFonts w:ascii="仿宋_GB2312" w:hAnsi="宋体"/>
          <w:color w:val="000000" w:themeColor="text1"/>
          <w:szCs w:val="32"/>
        </w:rPr>
      </w:pPr>
      <w:r>
        <w:rPr>
          <w:rFonts w:hint="eastAsia" w:ascii="仿宋_GB2312" w:hAnsi="宋体"/>
          <w:b w:val="0"/>
          <w:bCs/>
          <w:color w:val="000000" w:themeColor="text1"/>
          <w:szCs w:val="32"/>
        </w:rPr>
        <w:t>5.</w:t>
      </w:r>
      <w:r>
        <w:rPr>
          <w:rFonts w:hint="eastAsia" w:ascii="仿宋_GB2312" w:hAnsi="宋体"/>
          <w:color w:val="000000" w:themeColor="text1"/>
          <w:szCs w:val="32"/>
        </w:rPr>
        <w:t>其他资源勘探业支出4,418.42万元。其中，基本支出预算4,221.07万元，项目支出预算197.35万元。主要用于除煤炭、石油和天然气、黑色金属、有色金属、非金属矿等以外其他用于资源勘探业方面的支出。</w:t>
      </w:r>
    </w:p>
    <w:p>
      <w:pPr>
        <w:tabs>
          <w:tab w:val="center" w:pos="4475"/>
        </w:tabs>
        <w:spacing w:line="560" w:lineRule="exact"/>
        <w:ind w:firstLine="645"/>
        <w:rPr>
          <w:rFonts w:ascii="仿宋_GB2312" w:hAnsi="宋体"/>
          <w:color w:val="000000" w:themeColor="text1"/>
          <w:szCs w:val="32"/>
        </w:rPr>
      </w:pPr>
      <w:r>
        <w:rPr>
          <w:rFonts w:hint="eastAsia" w:ascii="仿宋_GB2312" w:hAnsi="宋体"/>
          <w:b w:val="0"/>
          <w:bCs/>
          <w:color w:val="000000" w:themeColor="text1"/>
          <w:szCs w:val="32"/>
        </w:rPr>
        <w:t>6.</w:t>
      </w:r>
      <w:r>
        <w:rPr>
          <w:rFonts w:hint="eastAsia" w:ascii="仿宋_GB2312" w:hAnsi="宋体"/>
          <w:color w:val="000000" w:themeColor="text1"/>
          <w:szCs w:val="32"/>
        </w:rPr>
        <w:t>住房公积金99.41万元，全部是基本支出预算。是按照国家统一规定，本单位在职职工工资总额的规定比例缴纳的住房公积金。</w:t>
      </w:r>
    </w:p>
    <w:p>
      <w:pPr>
        <w:spacing w:line="560" w:lineRule="exact"/>
        <w:ind w:firstLine="640" w:firstLineChars="200"/>
        <w:rPr>
          <w:rFonts w:hint="eastAsia" w:ascii="仿宋_GB2312" w:hAnsi="仿宋_GB2312" w:eastAsia="仿宋_GB2312" w:cs="仿宋_GB2312"/>
          <w:b w:val="0"/>
          <w:bCs/>
          <w:color w:val="000000" w:themeColor="text1"/>
          <w:szCs w:val="32"/>
        </w:rPr>
      </w:pPr>
      <w:r>
        <w:rPr>
          <w:rFonts w:hint="eastAsia" w:ascii="仿宋_GB2312" w:hAnsi="仿宋_GB2312" w:eastAsia="仿宋_GB2312" w:cs="仿宋_GB2312"/>
          <w:b w:val="0"/>
          <w:bCs/>
          <w:color w:val="000000" w:themeColor="text1"/>
          <w:szCs w:val="32"/>
        </w:rPr>
        <w:t>（四）一般公共预算基本支出情况说明</w:t>
      </w:r>
    </w:p>
    <w:p>
      <w:pPr>
        <w:spacing w:line="560" w:lineRule="exact"/>
        <w:ind w:firstLine="640" w:firstLineChars="200"/>
        <w:rPr>
          <w:rFonts w:ascii="仿宋_GB2312" w:hAnsi="微软雅黑"/>
          <w:color w:val="000000" w:themeColor="text1"/>
          <w:szCs w:val="32"/>
        </w:rPr>
      </w:pPr>
      <w:r>
        <w:rPr>
          <w:rFonts w:ascii="仿宋_GB2312" w:hAnsi="微软雅黑" w:cs="宋体"/>
          <w:color w:val="000000" w:themeColor="text1"/>
          <w:kern w:val="0"/>
          <w:szCs w:val="32"/>
        </w:rPr>
        <w:t>202</w:t>
      </w:r>
      <w:r>
        <w:rPr>
          <w:rFonts w:hint="eastAsia" w:ascii="仿宋_GB2312" w:hAnsi="微软雅黑" w:cs="宋体"/>
          <w:color w:val="000000" w:themeColor="text1"/>
          <w:kern w:val="0"/>
          <w:szCs w:val="32"/>
        </w:rPr>
        <w:t>5年一般公共预算基本支出4,880.15万元，占本年支出预算96.11%，</w:t>
      </w:r>
      <w:r>
        <w:rPr>
          <w:rFonts w:hint="eastAsia" w:ascii="仿宋_GB2312" w:hAnsi="宋体"/>
          <w:color w:val="000000" w:themeColor="text1"/>
          <w:szCs w:val="32"/>
        </w:rPr>
        <w:t>同比减少519.32万元，下降9.61</w:t>
      </w:r>
      <w:r>
        <w:rPr>
          <w:rFonts w:ascii="仿宋_GB2312" w:hAnsi="宋体"/>
          <w:color w:val="000000" w:themeColor="text1"/>
          <w:szCs w:val="32"/>
        </w:rPr>
        <w:t>%</w:t>
      </w:r>
      <w:r>
        <w:rPr>
          <w:rFonts w:hint="eastAsia" w:ascii="仿宋_GB2312" w:hAnsi="微软雅黑" w:cs="宋体"/>
          <w:color w:val="000000" w:themeColor="text1"/>
          <w:kern w:val="0"/>
          <w:szCs w:val="32"/>
        </w:rPr>
        <w:t>。减少原因主要是：</w:t>
      </w:r>
      <w:r>
        <w:rPr>
          <w:rFonts w:hint="eastAsia" w:ascii="仿宋_GB2312" w:hAnsi="微软雅黑"/>
          <w:color w:val="000000" w:themeColor="text1"/>
          <w:szCs w:val="32"/>
        </w:rPr>
        <w:t>绩效工资总量减少，在职人员同比2024年减少。</w:t>
      </w:r>
      <w:r>
        <w:rPr>
          <w:rFonts w:hint="eastAsia" w:ascii="仿宋_GB2312" w:hAnsi="仿宋" w:cs="宋体"/>
          <w:szCs w:val="32"/>
        </w:rPr>
        <w:t>其中：</w:t>
      </w:r>
    </w:p>
    <w:p>
      <w:pPr>
        <w:tabs>
          <w:tab w:val="center" w:pos="4475"/>
        </w:tabs>
        <w:spacing w:line="560" w:lineRule="exact"/>
        <w:ind w:firstLine="645"/>
        <w:rPr>
          <w:rFonts w:ascii="仿宋_GB2312" w:hAnsi="宋体"/>
          <w:color w:val="000000" w:themeColor="text1"/>
          <w:szCs w:val="32"/>
        </w:rPr>
      </w:pPr>
      <w:r>
        <w:rPr>
          <w:rFonts w:hint="eastAsia" w:ascii="仿宋_GB2312" w:hAnsi="宋体"/>
          <w:b w:val="0"/>
          <w:bCs/>
          <w:szCs w:val="32"/>
        </w:rPr>
        <w:t>1.</w:t>
      </w:r>
      <w:r>
        <w:rPr>
          <w:rFonts w:hint="eastAsia" w:ascii="仿宋_GB2312" w:hAnsi="宋体"/>
          <w:szCs w:val="32"/>
        </w:rPr>
        <w:t>人员经费</w:t>
      </w:r>
      <w:r>
        <w:rPr>
          <w:rFonts w:hint="eastAsia" w:ascii="仿宋_GB2312" w:hAnsi="宋体"/>
          <w:color w:val="000000" w:themeColor="text1"/>
          <w:szCs w:val="32"/>
        </w:rPr>
        <w:t>4,534.37万元，用于发放人员的基本工资、津贴补贴、奖金、绩效工资、机关事业单位基本养老保险缴费、职业年金缴费、职工基本医疗保险缴费、其他社会保障缴费、住房公积金、离休费、退休费、医疗费补助、其他对个人和家庭的补助等。</w:t>
      </w:r>
    </w:p>
    <w:p>
      <w:pPr>
        <w:tabs>
          <w:tab w:val="center" w:pos="4475"/>
        </w:tabs>
        <w:spacing w:line="560" w:lineRule="exact"/>
        <w:ind w:firstLine="640" w:firstLineChars="200"/>
        <w:rPr>
          <w:rFonts w:ascii="仿宋_GB2312" w:hAnsi="宋体"/>
          <w:szCs w:val="32"/>
        </w:rPr>
      </w:pPr>
      <w:r>
        <w:rPr>
          <w:rFonts w:hint="eastAsia" w:ascii="仿宋_GB2312" w:hAnsi="宋体"/>
          <w:b w:val="0"/>
          <w:bCs/>
          <w:szCs w:val="32"/>
        </w:rPr>
        <w:t>2.</w:t>
      </w:r>
      <w:r>
        <w:rPr>
          <w:rFonts w:hint="eastAsia" w:ascii="仿宋_GB2312" w:hAnsi="宋体"/>
          <w:color w:val="000000" w:themeColor="text1"/>
          <w:szCs w:val="32"/>
        </w:rPr>
        <w:t>公用经费345.78万元，</w:t>
      </w:r>
      <w:r>
        <w:rPr>
          <w:rFonts w:hint="eastAsia" w:ascii="仿宋_GB2312" w:hAnsi="宋体"/>
          <w:szCs w:val="32"/>
        </w:rPr>
        <w:t>用于支付办公费、印刷费、咨询费、水费、电费、邮电费、差旅费、维修（护）费、租赁费、会议费、培训费、公务接待费、专用材料费、劳务费、工会经费、福利费、公务用车运行维护费、其他交通费用、其他商品和服务支出等。</w:t>
      </w:r>
    </w:p>
    <w:p>
      <w:pPr>
        <w:tabs>
          <w:tab w:val="center" w:pos="4475"/>
        </w:tabs>
        <w:spacing w:line="560" w:lineRule="exact"/>
        <w:ind w:firstLine="640" w:firstLineChars="200"/>
        <w:rPr>
          <w:rFonts w:ascii="黑体" w:hAnsi="黑体" w:eastAsia="黑体" w:cs="黑体"/>
          <w:color w:val="000000" w:themeColor="text1"/>
          <w:szCs w:val="32"/>
        </w:rPr>
      </w:pPr>
      <w:r>
        <w:rPr>
          <w:rFonts w:hint="eastAsia" w:ascii="楷体_GB2312" w:hAnsi="楷体_GB2312" w:eastAsia="楷体_GB2312" w:cs="楷体_GB2312"/>
          <w:color w:val="000000" w:themeColor="text1"/>
          <w:szCs w:val="32"/>
        </w:rPr>
        <w:t>四、政府性基金预算支出情况说明</w:t>
      </w:r>
    </w:p>
    <w:p>
      <w:pPr>
        <w:tabs>
          <w:tab w:val="center" w:pos="4475"/>
        </w:tabs>
        <w:spacing w:line="560" w:lineRule="exact"/>
        <w:ind w:firstLine="640" w:firstLineChars="200"/>
        <w:rPr>
          <w:rFonts w:ascii="仿宋_GB2312" w:hAnsi="微软雅黑"/>
          <w:color w:val="000000" w:themeColor="text1"/>
          <w:szCs w:val="32"/>
        </w:rPr>
      </w:pPr>
      <w:r>
        <w:rPr>
          <w:rFonts w:hint="eastAsia" w:ascii="仿宋_GB2312" w:hAnsi="微软雅黑"/>
          <w:color w:val="000000" w:themeColor="text1"/>
          <w:szCs w:val="32"/>
        </w:rPr>
        <w:t>我单位</w:t>
      </w:r>
      <w:r>
        <w:rPr>
          <w:rFonts w:ascii="仿宋_GB2312" w:hAnsi="微软雅黑"/>
          <w:color w:val="000000" w:themeColor="text1"/>
          <w:szCs w:val="32"/>
        </w:rPr>
        <w:t>202</w:t>
      </w:r>
      <w:r>
        <w:rPr>
          <w:rFonts w:hint="eastAsia" w:ascii="仿宋_GB2312" w:hAnsi="微软雅黑"/>
          <w:color w:val="000000" w:themeColor="text1"/>
          <w:szCs w:val="32"/>
        </w:rPr>
        <w:t>5年无政府性基金预算。</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五、国有资本经营预算支出情况说明</w:t>
      </w:r>
    </w:p>
    <w:p>
      <w:pPr>
        <w:tabs>
          <w:tab w:val="center" w:pos="4475"/>
        </w:tabs>
        <w:spacing w:line="560" w:lineRule="exact"/>
        <w:ind w:firstLine="640" w:firstLineChars="200"/>
        <w:rPr>
          <w:rFonts w:ascii="仿宋_GB2312" w:hAnsi="微软雅黑"/>
          <w:color w:val="000000" w:themeColor="text1"/>
          <w:szCs w:val="32"/>
        </w:rPr>
      </w:pPr>
      <w:r>
        <w:rPr>
          <w:rFonts w:hint="eastAsia" w:ascii="仿宋_GB2312" w:hAnsi="微软雅黑"/>
          <w:color w:val="000000" w:themeColor="text1"/>
          <w:szCs w:val="32"/>
        </w:rPr>
        <w:t>我单位</w:t>
      </w:r>
      <w:r>
        <w:rPr>
          <w:rFonts w:ascii="仿宋_GB2312" w:hAnsi="微软雅黑"/>
          <w:color w:val="000000" w:themeColor="text1"/>
          <w:szCs w:val="32"/>
        </w:rPr>
        <w:t>202</w:t>
      </w:r>
      <w:r>
        <w:rPr>
          <w:rFonts w:hint="eastAsia" w:ascii="仿宋_GB2312" w:hAnsi="微软雅黑"/>
          <w:color w:val="000000" w:themeColor="text1"/>
          <w:szCs w:val="32"/>
        </w:rPr>
        <w:t>5年无国有资本经营预算。</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六、一般公共预算“三公”经费支出情况说明</w:t>
      </w:r>
    </w:p>
    <w:p>
      <w:pPr>
        <w:spacing w:line="560" w:lineRule="exact"/>
        <w:ind w:firstLine="600"/>
        <w:rPr>
          <w:rFonts w:ascii="仿宋_GB2312" w:hAnsi="宋体"/>
          <w:color w:val="000000" w:themeColor="text1"/>
          <w:szCs w:val="32"/>
          <w:highlight w:val="none"/>
        </w:rPr>
      </w:pPr>
      <w:r>
        <w:rPr>
          <w:rFonts w:hint="eastAsia" w:ascii="仿宋_GB2312" w:hAnsi="宋体"/>
          <w:szCs w:val="32"/>
          <w:highlight w:val="none"/>
        </w:rPr>
        <w:t>本单位2025年一般公共预算“三公”经费</w:t>
      </w:r>
      <w:r>
        <w:rPr>
          <w:rFonts w:hint="eastAsia" w:ascii="仿宋_GB2312" w:hAnsi="宋体"/>
          <w:color w:val="000000" w:themeColor="text1"/>
          <w:szCs w:val="32"/>
          <w:highlight w:val="none"/>
        </w:rPr>
        <w:t>3.27万元，与上年持平。具体如下：</w:t>
      </w:r>
    </w:p>
    <w:p>
      <w:pPr>
        <w:widowControl/>
        <w:spacing w:line="560" w:lineRule="exact"/>
        <w:ind w:firstLine="640" w:firstLineChars="200"/>
        <w:jc w:val="left"/>
        <w:rPr>
          <w:rFonts w:ascii="仿宋_GB2312" w:hAnsi="微软雅黑" w:cs="宋体"/>
          <w:kern w:val="0"/>
          <w:szCs w:val="32"/>
        </w:rPr>
      </w:pPr>
      <w:r>
        <w:rPr>
          <w:rFonts w:hint="eastAsia" w:ascii="仿宋_GB2312" w:hAnsi="仿宋_GB2312" w:eastAsia="仿宋_GB2312" w:cs="仿宋_GB2312"/>
          <w:b w:val="0"/>
          <w:bCs/>
          <w:kern w:val="0"/>
          <w:szCs w:val="32"/>
        </w:rPr>
        <w:t>（一）</w:t>
      </w:r>
      <w:r>
        <w:rPr>
          <w:rFonts w:hint="eastAsia" w:ascii="仿宋_GB2312" w:hAnsi="微软雅黑" w:cs="宋体"/>
          <w:kern w:val="0"/>
          <w:szCs w:val="32"/>
        </w:rPr>
        <w:t>因公出国（境）费预算</w:t>
      </w:r>
      <w:r>
        <w:rPr>
          <w:rFonts w:ascii="仿宋_GB2312" w:hAnsi="微软雅黑" w:cs="宋体"/>
          <w:kern w:val="0"/>
          <w:szCs w:val="32"/>
        </w:rPr>
        <w:t>0</w:t>
      </w:r>
      <w:r>
        <w:rPr>
          <w:rFonts w:hint="eastAsia" w:ascii="仿宋_GB2312" w:hAnsi="微软雅黑" w:cs="宋体"/>
          <w:kern w:val="0"/>
          <w:szCs w:val="32"/>
        </w:rPr>
        <w:t>万元，与上年持平。</w:t>
      </w:r>
    </w:p>
    <w:p>
      <w:pPr>
        <w:spacing w:line="560" w:lineRule="exact"/>
        <w:ind w:firstLine="600"/>
        <w:rPr>
          <w:rFonts w:ascii="仿宋_GB2312" w:hAnsi="宋体"/>
          <w:szCs w:val="32"/>
        </w:rPr>
      </w:pPr>
      <w:r>
        <w:rPr>
          <w:rFonts w:hint="eastAsia" w:ascii="仿宋_GB2312" w:hAnsi="仿宋_GB2312" w:eastAsia="仿宋_GB2312" w:cs="仿宋_GB2312"/>
          <w:b w:val="0"/>
          <w:bCs/>
          <w:kern w:val="0"/>
          <w:szCs w:val="32"/>
        </w:rPr>
        <w:t>（二）</w:t>
      </w:r>
      <w:r>
        <w:rPr>
          <w:rFonts w:hint="eastAsia" w:ascii="仿宋_GB2312" w:hAnsi="宋体"/>
          <w:szCs w:val="32"/>
        </w:rPr>
        <w:t>公务用车购置及运行维护费预算</w:t>
      </w:r>
      <w:r>
        <w:rPr>
          <w:rFonts w:hint="eastAsia" w:ascii="仿宋_GB2312" w:hAnsi="宋体"/>
          <w:color w:val="000000" w:themeColor="text1"/>
          <w:szCs w:val="32"/>
        </w:rPr>
        <w:t>1.37万</w:t>
      </w:r>
      <w:r>
        <w:rPr>
          <w:rFonts w:hint="eastAsia" w:ascii="仿宋_GB2312" w:hAnsi="宋体"/>
          <w:szCs w:val="32"/>
        </w:rPr>
        <w:t>元，与上年持平。其中：</w:t>
      </w:r>
    </w:p>
    <w:p>
      <w:pPr>
        <w:spacing w:line="560" w:lineRule="exact"/>
        <w:ind w:firstLine="600"/>
        <w:rPr>
          <w:rFonts w:ascii="仿宋_GB2312" w:hAnsi="宋体"/>
          <w:szCs w:val="32"/>
        </w:rPr>
      </w:pPr>
      <w:r>
        <w:rPr>
          <w:rFonts w:hint="eastAsia" w:ascii="仿宋_GB2312" w:hAnsi="宋体"/>
          <w:szCs w:val="32"/>
        </w:rPr>
        <w:t>公务用车购置费预算0万元，与上年持平。公务用车运行维护费预算1.37万元，与上年持平。</w:t>
      </w:r>
    </w:p>
    <w:p>
      <w:pPr>
        <w:spacing w:line="560" w:lineRule="exact"/>
        <w:ind w:firstLine="600"/>
        <w:rPr>
          <w:rFonts w:ascii="仿宋_GB2312" w:hAnsi="宋体"/>
          <w:color w:val="000000" w:themeColor="text1"/>
          <w:szCs w:val="32"/>
        </w:rPr>
      </w:pPr>
      <w:r>
        <w:rPr>
          <w:rFonts w:hint="eastAsia" w:ascii="仿宋_GB2312" w:hAnsi="仿宋_GB2312" w:eastAsia="仿宋_GB2312" w:cs="仿宋_GB2312"/>
          <w:b w:val="0"/>
          <w:bCs/>
          <w:kern w:val="0"/>
          <w:szCs w:val="32"/>
        </w:rPr>
        <w:t>（三）</w:t>
      </w:r>
      <w:r>
        <w:rPr>
          <w:rFonts w:hint="eastAsia" w:ascii="仿宋_GB2312" w:hAnsi="宋体"/>
          <w:color w:val="000000" w:themeColor="text1"/>
          <w:szCs w:val="32"/>
        </w:rPr>
        <w:t>公务接待费预算1.9万元，与上年持平。</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七、事业单位机关运行经费预算安排情况说明</w:t>
      </w:r>
    </w:p>
    <w:p>
      <w:pPr>
        <w:widowControl/>
        <w:spacing w:line="560" w:lineRule="exact"/>
        <w:ind w:firstLine="640" w:firstLineChars="200"/>
        <w:jc w:val="left"/>
        <w:rPr>
          <w:rFonts w:ascii="仿宋_GB2312" w:hAnsi="黑体" w:cs="宋体"/>
          <w:color w:val="000000" w:themeColor="text1"/>
          <w:kern w:val="0"/>
          <w:szCs w:val="32"/>
        </w:rPr>
      </w:pPr>
      <w:r>
        <w:rPr>
          <w:rFonts w:hint="eastAsia" w:ascii="仿宋_GB2312" w:hAnsi="黑体" w:cs="宋体"/>
          <w:color w:val="000000" w:themeColor="text1"/>
          <w:kern w:val="0"/>
          <w:szCs w:val="32"/>
        </w:rPr>
        <w:t>2025年事业单位相关运行经费345.78万元，同比减少6.16万元，下降1.75%。主要用于本单位为保证日常运转发生的办公费、印刷费、水电费、培训费、差旅费、会议费等日常公用经费支出。</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八、政府采购预算安排情况说明</w:t>
      </w:r>
    </w:p>
    <w:p>
      <w:pPr>
        <w:spacing w:line="560" w:lineRule="exact"/>
        <w:ind w:firstLine="640" w:firstLineChars="200"/>
        <w:rPr>
          <w:rFonts w:ascii="仿宋_GB2312" w:hAnsi="宋体"/>
          <w:color w:val="000000" w:themeColor="text1"/>
          <w:szCs w:val="32"/>
        </w:rPr>
      </w:pPr>
      <w:r>
        <w:rPr>
          <w:rFonts w:ascii="仿宋_GB2312" w:hAnsi="黑体" w:cs="宋体"/>
          <w:kern w:val="0"/>
          <w:szCs w:val="32"/>
        </w:rPr>
        <w:t>202</w:t>
      </w:r>
      <w:r>
        <w:rPr>
          <w:rFonts w:hint="eastAsia" w:ascii="仿宋_GB2312" w:hAnsi="黑体" w:cs="宋体"/>
          <w:kern w:val="0"/>
          <w:szCs w:val="32"/>
        </w:rPr>
        <w:t>5年政府采购预算总金额</w:t>
      </w:r>
      <w:r>
        <w:rPr>
          <w:rFonts w:hint="eastAsia" w:ascii="仿宋_GB2312" w:hAnsi="黑体" w:cs="宋体"/>
          <w:color w:val="000000" w:themeColor="text1"/>
          <w:kern w:val="0"/>
          <w:szCs w:val="32"/>
        </w:rPr>
        <w:t>34.30万元</w:t>
      </w:r>
      <w:r>
        <w:rPr>
          <w:rFonts w:hint="eastAsia" w:ascii="仿宋_GB2312" w:hAnsi="宋体"/>
          <w:color w:val="000000" w:themeColor="text1"/>
          <w:szCs w:val="32"/>
        </w:rPr>
        <w:t>，同比减少1.65万元，</w:t>
      </w:r>
      <w:r>
        <w:rPr>
          <w:rFonts w:hint="eastAsia" w:ascii="仿宋_GB2312" w:hAnsi="宋体"/>
          <w:color w:val="000000" w:themeColor="text1"/>
          <w:szCs w:val="32"/>
          <w:lang w:eastAsia="zh-CN"/>
        </w:rPr>
        <w:t>下降</w:t>
      </w:r>
      <w:r>
        <w:rPr>
          <w:rFonts w:hint="eastAsia" w:ascii="仿宋_GB2312" w:hAnsi="宋体"/>
          <w:color w:val="000000" w:themeColor="text1"/>
          <w:szCs w:val="32"/>
        </w:rPr>
        <w:t>4.59</w:t>
      </w:r>
      <w:r>
        <w:rPr>
          <w:rFonts w:ascii="仿宋_GB2312" w:hAnsi="宋体"/>
          <w:color w:val="000000" w:themeColor="text1"/>
          <w:szCs w:val="32"/>
        </w:rPr>
        <w:t>%</w:t>
      </w:r>
      <w:r>
        <w:rPr>
          <w:rFonts w:hint="eastAsia" w:ascii="仿宋_GB2312" w:hAnsi="宋体"/>
          <w:color w:val="000000" w:themeColor="text1"/>
          <w:szCs w:val="32"/>
        </w:rPr>
        <w:t>。其中：货物类采购预算26.40万元，服务类采购预算7.90万元，工程类采购预算</w:t>
      </w:r>
      <w:r>
        <w:rPr>
          <w:rFonts w:ascii="仿宋_GB2312" w:hAnsi="宋体"/>
          <w:color w:val="000000" w:themeColor="text1"/>
          <w:szCs w:val="32"/>
        </w:rPr>
        <w:t>0</w:t>
      </w:r>
      <w:r>
        <w:rPr>
          <w:rFonts w:hint="eastAsia" w:ascii="仿宋_GB2312" w:hAnsi="宋体"/>
          <w:color w:val="000000" w:themeColor="text1"/>
          <w:szCs w:val="32"/>
        </w:rPr>
        <w:t>万元。减少的主要原因：专用设备购置减少。</w:t>
      </w:r>
    </w:p>
    <w:p>
      <w:pPr>
        <w:spacing w:line="560" w:lineRule="exact"/>
        <w:ind w:firstLine="640" w:firstLineChars="200"/>
        <w:rPr>
          <w:rFonts w:ascii="仿宋_GB2312" w:hAnsi="宋体"/>
          <w:color w:val="000000" w:themeColor="text1"/>
          <w:szCs w:val="32"/>
        </w:rPr>
      </w:pPr>
      <w:r>
        <w:rPr>
          <w:rFonts w:hint="eastAsia" w:ascii="仿宋_GB2312" w:hAnsi="宋体"/>
          <w:color w:val="000000" w:themeColor="text1"/>
          <w:szCs w:val="32"/>
        </w:rPr>
        <w:t>政府采购模式：集中采购预算34.30万元，占政府采购预算100%，同比减少1.65万元，降低4.59%；分散采购预算0万元。</w:t>
      </w:r>
    </w:p>
    <w:p>
      <w:pPr>
        <w:spacing w:line="560" w:lineRule="exact"/>
        <w:ind w:firstLine="640" w:firstLineChars="200"/>
        <w:rPr>
          <w:rFonts w:ascii="仿宋_GB2312" w:hAnsi="宋体"/>
          <w:color w:val="000000" w:themeColor="text1"/>
          <w:szCs w:val="32"/>
        </w:rPr>
      </w:pPr>
      <w:r>
        <w:rPr>
          <w:rFonts w:hint="eastAsia" w:ascii="仿宋_GB2312" w:hAnsi="宋体"/>
          <w:color w:val="000000" w:themeColor="text1"/>
          <w:szCs w:val="32"/>
        </w:rPr>
        <w:t>政府采购资金类型：一般公共预算拨款22.50万元，单位资金11.80万元。</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九、国有资产占用情况说明</w:t>
      </w:r>
    </w:p>
    <w:p>
      <w:pPr>
        <w:spacing w:line="560" w:lineRule="exact"/>
        <w:ind w:firstLine="640" w:firstLineChars="200"/>
        <w:rPr>
          <w:rFonts w:ascii="仿宋_GB2312" w:hAnsi="宋体"/>
          <w:color w:val="000000" w:themeColor="text1"/>
          <w:szCs w:val="32"/>
        </w:rPr>
      </w:pPr>
      <w:r>
        <w:rPr>
          <w:rFonts w:hint="eastAsia" w:ascii="仿宋_GB2312" w:hAnsi="宋体"/>
          <w:color w:val="000000" w:themeColor="text1"/>
          <w:szCs w:val="32"/>
        </w:rPr>
        <w:t>2025年本单位编内车辆实有数8辆</w:t>
      </w:r>
      <w:r>
        <w:rPr>
          <w:rFonts w:hint="eastAsia" w:ascii="仿宋_GB2312" w:hAnsi="黑体" w:cs="宋体"/>
          <w:color w:val="000000" w:themeColor="text1"/>
          <w:kern w:val="0"/>
          <w:szCs w:val="32"/>
        </w:rPr>
        <w:t>（</w:t>
      </w:r>
      <w:r>
        <w:rPr>
          <w:rFonts w:hint="eastAsia" w:ascii="仿宋_GB2312" w:hAnsi="宋体"/>
          <w:color w:val="000000" w:themeColor="text1"/>
          <w:szCs w:val="32"/>
        </w:rPr>
        <w:t>轿车3辆，越野车5辆</w:t>
      </w:r>
      <w:r>
        <w:rPr>
          <w:rFonts w:ascii="仿宋_GB2312" w:hAnsi="宋体"/>
          <w:color w:val="000000" w:themeColor="text1"/>
          <w:szCs w:val="32"/>
        </w:rPr>
        <w:t>）</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十、预算绩效目标情况说明</w:t>
      </w:r>
    </w:p>
    <w:p>
      <w:pPr>
        <w:tabs>
          <w:tab w:val="center" w:pos="4475"/>
        </w:tabs>
        <w:spacing w:line="560" w:lineRule="exact"/>
        <w:ind w:firstLine="640" w:firstLineChars="200"/>
        <w:rPr>
          <w:rFonts w:ascii="仿宋_GB2312" w:hAnsi="黑体"/>
          <w:szCs w:val="32"/>
        </w:rPr>
      </w:pPr>
      <w:r>
        <w:rPr>
          <w:rFonts w:hint="eastAsia" w:ascii="仿宋_GB2312" w:hAnsi="仿宋_GB2312" w:eastAsia="仿宋_GB2312" w:cs="仿宋_GB2312"/>
          <w:b w:val="0"/>
          <w:bCs/>
          <w:color w:val="000000" w:themeColor="text1"/>
          <w:szCs w:val="32"/>
        </w:rPr>
        <w:t>（一）</w:t>
      </w:r>
      <w:r>
        <w:rPr>
          <w:rFonts w:hint="eastAsia" w:ascii="仿宋_GB2312" w:hAnsi="黑体"/>
          <w:color w:val="000000" w:themeColor="text1"/>
          <w:szCs w:val="32"/>
        </w:rPr>
        <w:t>我单位</w:t>
      </w:r>
      <w:r>
        <w:rPr>
          <w:rFonts w:ascii="仿宋_GB2312" w:hAnsi="黑体"/>
          <w:color w:val="000000" w:themeColor="text1"/>
          <w:szCs w:val="32"/>
        </w:rPr>
        <w:t>202</w:t>
      </w:r>
      <w:r>
        <w:rPr>
          <w:rFonts w:hint="eastAsia" w:ascii="仿宋_GB2312" w:hAnsi="黑体"/>
          <w:color w:val="000000" w:themeColor="text1"/>
          <w:szCs w:val="32"/>
        </w:rPr>
        <w:t>5年单位预算所有项目支出全面实施绩效目标管理，涉及</w:t>
      </w:r>
      <w:r>
        <w:rPr>
          <w:rFonts w:ascii="仿宋_GB2312" w:hAnsi="黑体"/>
          <w:color w:val="000000" w:themeColor="text1"/>
          <w:szCs w:val="32"/>
        </w:rPr>
        <w:t>1</w:t>
      </w:r>
      <w:r>
        <w:rPr>
          <w:rFonts w:hint="eastAsia" w:ascii="仿宋_GB2312" w:hAnsi="黑体"/>
          <w:color w:val="000000" w:themeColor="text1"/>
          <w:szCs w:val="32"/>
        </w:rPr>
        <w:t>2个项目，预算资金700.41万元，相关绩效</w:t>
      </w:r>
      <w:r>
        <w:rPr>
          <w:rFonts w:hint="eastAsia" w:ascii="仿宋_GB2312" w:hAnsi="黑体"/>
          <w:szCs w:val="32"/>
        </w:rPr>
        <w:t>目标情况详见部门预算公开表10、表11。</w:t>
      </w:r>
    </w:p>
    <w:p>
      <w:pPr>
        <w:tabs>
          <w:tab w:val="center" w:pos="4475"/>
        </w:tabs>
        <w:spacing w:line="560" w:lineRule="exact"/>
        <w:ind w:firstLine="640" w:firstLineChars="200"/>
        <w:rPr>
          <w:rFonts w:ascii="仿宋_GB2312" w:hAnsi="黑体"/>
          <w:szCs w:val="32"/>
        </w:rPr>
      </w:pPr>
      <w:r>
        <w:rPr>
          <w:rFonts w:hint="eastAsia" w:ascii="仿宋_GB2312" w:hAnsi="仿宋_GB2312" w:eastAsia="仿宋_GB2312" w:cs="仿宋_GB2312"/>
          <w:b w:val="0"/>
          <w:bCs/>
          <w:color w:val="000000" w:themeColor="text1"/>
          <w:szCs w:val="32"/>
        </w:rPr>
        <w:t>（二）</w:t>
      </w:r>
      <w:r>
        <w:rPr>
          <w:rFonts w:hint="eastAsia" w:ascii="仿宋_GB2312" w:hAnsi="黑体"/>
          <w:szCs w:val="32"/>
        </w:rPr>
        <w:t>重点项目预算绩效说明</w:t>
      </w:r>
    </w:p>
    <w:tbl>
      <w:tblPr>
        <w:tblStyle w:val="6"/>
        <w:tblW w:w="8727" w:type="dxa"/>
        <w:jc w:val="center"/>
        <w:tblLayout w:type="autofit"/>
        <w:tblCellMar>
          <w:top w:w="0" w:type="dxa"/>
          <w:left w:w="0" w:type="dxa"/>
          <w:bottom w:w="0" w:type="dxa"/>
          <w:right w:w="0" w:type="dxa"/>
        </w:tblCellMar>
      </w:tblPr>
      <w:tblGrid>
        <w:gridCol w:w="2160"/>
        <w:gridCol w:w="1752"/>
        <w:gridCol w:w="4815"/>
      </w:tblGrid>
      <w:tr>
        <w:tblPrEx>
          <w:tblCellMar>
            <w:top w:w="0" w:type="dxa"/>
            <w:left w:w="0" w:type="dxa"/>
            <w:bottom w:w="0" w:type="dxa"/>
            <w:right w:w="0" w:type="dxa"/>
          </w:tblCellMar>
        </w:tblPrEx>
        <w:trPr>
          <w:trHeight w:val="5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60" w:lineRule="exact"/>
              <w:jc w:val="center"/>
              <w:textAlignment w:val="center"/>
              <w:rPr>
                <w:rFonts w:ascii="仿宋_GB2312" w:hAnsi="宋体" w:cs="宋体"/>
                <w:color w:val="000000"/>
                <w:szCs w:val="32"/>
              </w:rPr>
            </w:pPr>
            <w:r>
              <w:rPr>
                <w:rFonts w:hint="eastAsia" w:ascii="仿宋_GB2312" w:hAnsi="宋体" w:cs="宋体"/>
                <w:color w:val="000000"/>
                <w:kern w:val="0"/>
                <w:szCs w:val="32"/>
              </w:rPr>
              <w:t>项目名称</w:t>
            </w:r>
          </w:p>
        </w:tc>
        <w:tc>
          <w:tcPr>
            <w:tcW w:w="17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60" w:lineRule="exact"/>
              <w:jc w:val="center"/>
              <w:textAlignment w:val="center"/>
              <w:rPr>
                <w:rFonts w:ascii="仿宋_GB2312" w:hAnsi="宋体" w:cs="宋体"/>
                <w:color w:val="000000"/>
                <w:szCs w:val="32"/>
              </w:rPr>
            </w:pPr>
            <w:r>
              <w:rPr>
                <w:rFonts w:hint="eastAsia" w:ascii="仿宋_GB2312" w:hAnsi="宋体" w:cs="宋体"/>
                <w:color w:val="000000"/>
                <w:kern w:val="0"/>
                <w:szCs w:val="32"/>
              </w:rPr>
              <w:t>预算金额（万元）</w:t>
            </w:r>
          </w:p>
        </w:tc>
        <w:tc>
          <w:tcPr>
            <w:tcW w:w="4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60" w:lineRule="exact"/>
              <w:jc w:val="center"/>
              <w:textAlignment w:val="center"/>
              <w:rPr>
                <w:rFonts w:ascii="仿宋_GB2312" w:hAnsi="宋体" w:cs="宋体"/>
                <w:color w:val="000000"/>
                <w:szCs w:val="32"/>
              </w:rPr>
            </w:pPr>
            <w:r>
              <w:rPr>
                <w:rFonts w:hint="eastAsia" w:ascii="仿宋_GB2312" w:hAnsi="宋体" w:cs="宋体"/>
                <w:color w:val="000000"/>
                <w:kern w:val="0"/>
                <w:szCs w:val="32"/>
              </w:rPr>
              <w:t>年度绩效目标</w:t>
            </w:r>
          </w:p>
        </w:tc>
      </w:tr>
      <w:tr>
        <w:tblPrEx>
          <w:tblCellMar>
            <w:top w:w="0" w:type="dxa"/>
            <w:left w:w="0" w:type="dxa"/>
            <w:bottom w:w="0" w:type="dxa"/>
            <w:right w:w="0" w:type="dxa"/>
          </w:tblCellMar>
        </w:tblPrEx>
        <w:trPr>
          <w:trHeight w:val="5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宋体"/>
                <w:color w:val="000000"/>
                <w:szCs w:val="32"/>
              </w:rPr>
            </w:pPr>
          </w:p>
        </w:tc>
        <w:tc>
          <w:tcPr>
            <w:tcW w:w="17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宋体"/>
                <w:color w:val="000000"/>
                <w:szCs w:val="32"/>
              </w:rPr>
            </w:pPr>
          </w:p>
        </w:tc>
        <w:tc>
          <w:tcPr>
            <w:tcW w:w="4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宋体"/>
                <w:color w:val="000000"/>
                <w:szCs w:val="32"/>
              </w:rPr>
            </w:pPr>
          </w:p>
        </w:tc>
      </w:tr>
      <w:tr>
        <w:tblPrEx>
          <w:tblCellMar>
            <w:top w:w="0" w:type="dxa"/>
            <w:left w:w="0" w:type="dxa"/>
            <w:bottom w:w="0" w:type="dxa"/>
            <w:right w:w="0" w:type="dxa"/>
          </w:tblCellMar>
        </w:tblPrEx>
        <w:trPr>
          <w:trHeight w:val="1080" w:hRule="atLeast"/>
          <w:jc w:val="center"/>
        </w:trPr>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专用设备购置</w:t>
            </w:r>
          </w:p>
          <w:p>
            <w:pPr>
              <w:widowControl/>
              <w:spacing w:line="560" w:lineRule="exact"/>
              <w:jc w:val="center"/>
              <w:textAlignment w:val="center"/>
              <w:rPr>
                <w:rFonts w:ascii="仿宋_GB2312" w:hAnsi="宋体" w:cs="宋体"/>
                <w:color w:val="000000"/>
                <w:szCs w:val="32"/>
              </w:rPr>
            </w:pPr>
          </w:p>
        </w:tc>
        <w:tc>
          <w:tcPr>
            <w:tcW w:w="1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62.80</w:t>
            </w:r>
          </w:p>
          <w:p>
            <w:pPr>
              <w:widowControl/>
              <w:spacing w:line="560" w:lineRule="exact"/>
              <w:jc w:val="center"/>
              <w:textAlignment w:val="center"/>
              <w:rPr>
                <w:rFonts w:ascii="仿宋_GB2312" w:hAnsi="宋体" w:cs="宋体"/>
                <w:color w:val="000000"/>
                <w:szCs w:val="32"/>
              </w:rPr>
            </w:pPr>
          </w:p>
        </w:tc>
        <w:tc>
          <w:tcPr>
            <w:tcW w:w="48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购置地勘专项设备20项及舞台音响设备1项，满足单位业务工作需求，提高工作效率</w:t>
            </w:r>
          </w:p>
          <w:p>
            <w:pPr>
              <w:widowControl/>
              <w:spacing w:line="560" w:lineRule="exact"/>
              <w:jc w:val="center"/>
              <w:textAlignment w:val="center"/>
              <w:rPr>
                <w:rFonts w:ascii="仿宋_GB2312" w:hAnsi="宋体" w:cs="宋体"/>
                <w:color w:val="000000"/>
                <w:kern w:val="0"/>
                <w:szCs w:val="32"/>
              </w:rPr>
            </w:pPr>
          </w:p>
        </w:tc>
      </w:tr>
      <w:tr>
        <w:tblPrEx>
          <w:tblCellMar>
            <w:top w:w="0" w:type="dxa"/>
            <w:left w:w="0" w:type="dxa"/>
            <w:bottom w:w="0" w:type="dxa"/>
            <w:right w:w="0" w:type="dxa"/>
          </w:tblCellMar>
        </w:tblPrEx>
        <w:trPr>
          <w:trHeight w:val="864" w:hRule="atLeast"/>
          <w:jc w:val="center"/>
        </w:trPr>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协解人员专项经费</w:t>
            </w:r>
          </w:p>
          <w:p>
            <w:pPr>
              <w:widowControl/>
              <w:spacing w:line="560" w:lineRule="exact"/>
              <w:jc w:val="center"/>
              <w:textAlignment w:val="center"/>
              <w:rPr>
                <w:rFonts w:ascii="仿宋_GB2312" w:hAnsi="宋体" w:cs="宋体"/>
                <w:color w:val="000000"/>
                <w:szCs w:val="32"/>
              </w:rPr>
            </w:pPr>
          </w:p>
        </w:tc>
        <w:tc>
          <w:tcPr>
            <w:tcW w:w="1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251.61</w:t>
            </w:r>
          </w:p>
          <w:p>
            <w:pPr>
              <w:widowControl/>
              <w:spacing w:line="560" w:lineRule="exact"/>
              <w:jc w:val="center"/>
              <w:textAlignment w:val="center"/>
              <w:rPr>
                <w:rFonts w:ascii="仿宋_GB2312" w:hAnsi="宋体" w:cs="宋体"/>
                <w:color w:val="000000"/>
                <w:szCs w:val="32"/>
              </w:rPr>
            </w:pPr>
          </w:p>
        </w:tc>
        <w:tc>
          <w:tcPr>
            <w:tcW w:w="48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按时发放36名协解人员的经费，及时保障员工的利益，保证单位各项工作的正常开展。</w:t>
            </w:r>
          </w:p>
          <w:p>
            <w:pPr>
              <w:widowControl/>
              <w:spacing w:line="560" w:lineRule="exact"/>
              <w:jc w:val="center"/>
              <w:textAlignment w:val="center"/>
              <w:rPr>
                <w:rFonts w:ascii="仿宋_GB2312" w:hAnsi="宋体" w:cs="宋体"/>
                <w:color w:val="000000"/>
                <w:szCs w:val="32"/>
              </w:rPr>
            </w:pPr>
          </w:p>
        </w:tc>
      </w:tr>
    </w:tbl>
    <w:p>
      <w:pPr>
        <w:widowControl/>
        <w:spacing w:line="560" w:lineRule="exact"/>
        <w:ind w:firstLine="640" w:firstLineChars="200"/>
        <w:jc w:val="left"/>
        <w:rPr>
          <w:rFonts w:hint="eastAsia" w:ascii="黑体" w:hAnsi="黑体" w:eastAsia="黑体" w:cs="宋体"/>
          <w:color w:val="000000" w:themeColor="text1"/>
          <w:kern w:val="0"/>
          <w:szCs w:val="32"/>
        </w:rPr>
      </w:pPr>
    </w:p>
    <w:p>
      <w:pPr>
        <w:widowControl/>
        <w:spacing w:line="560" w:lineRule="exact"/>
        <w:ind w:firstLine="640" w:firstLineChars="200"/>
        <w:jc w:val="left"/>
        <w:rPr>
          <w:rFonts w:ascii="黑体" w:hAnsi="黑体" w:eastAsia="黑体" w:cs="宋体"/>
          <w:color w:val="000000" w:themeColor="text1"/>
          <w:kern w:val="0"/>
          <w:szCs w:val="32"/>
        </w:rPr>
      </w:pPr>
      <w:r>
        <w:rPr>
          <w:rFonts w:hint="eastAsia" w:ascii="黑体" w:hAnsi="黑体" w:eastAsia="黑体" w:cs="宋体"/>
          <w:color w:val="000000" w:themeColor="text1"/>
          <w:kern w:val="0"/>
          <w:szCs w:val="32"/>
        </w:rPr>
        <w:t>第三部分：名词解释</w:t>
      </w:r>
    </w:p>
    <w:p>
      <w:pPr>
        <w:widowControl/>
        <w:spacing w:line="560" w:lineRule="exact"/>
        <w:ind w:firstLine="640" w:firstLineChars="200"/>
        <w:jc w:val="left"/>
        <w:rPr>
          <w:rFonts w:hint="eastAsia" w:ascii="楷体_GB2312" w:hAnsi="楷体_GB2312" w:eastAsia="楷体_GB2312" w:cs="楷体_GB2312"/>
          <w:color w:val="000000" w:themeColor="text1"/>
          <w:kern w:val="0"/>
          <w:szCs w:val="32"/>
        </w:rPr>
      </w:pPr>
      <w:r>
        <w:rPr>
          <w:rFonts w:hint="eastAsia" w:ascii="楷体_GB2312" w:hAnsi="楷体_GB2312" w:eastAsia="楷体_GB2312" w:cs="楷体_GB2312"/>
          <w:color w:val="000000" w:themeColor="text1"/>
          <w:kern w:val="0"/>
          <w:szCs w:val="32"/>
        </w:rPr>
        <w:t>一、收入科目</w:t>
      </w:r>
    </w:p>
    <w:p>
      <w:pPr>
        <w:widowControl/>
        <w:spacing w:line="560" w:lineRule="exact"/>
        <w:ind w:firstLine="640" w:firstLineChars="200"/>
        <w:jc w:val="left"/>
        <w:rPr>
          <w:rFonts w:ascii="仿宋_GB2312" w:hAnsi="微软雅黑" w:cs="宋体"/>
          <w:kern w:val="0"/>
          <w:szCs w:val="32"/>
        </w:rPr>
      </w:pPr>
      <w:r>
        <w:rPr>
          <w:rFonts w:hint="eastAsia" w:ascii="仿宋_GB2312" w:hAnsi="仿宋_GB2312" w:eastAsia="仿宋_GB2312" w:cs="仿宋_GB2312"/>
          <w:b w:val="0"/>
          <w:bCs/>
          <w:color w:val="000000" w:themeColor="text1"/>
          <w:szCs w:val="32"/>
        </w:rPr>
        <w:t>（一）</w:t>
      </w:r>
      <w:r>
        <w:rPr>
          <w:rFonts w:hint="eastAsia" w:ascii="仿宋_GB2312" w:hAnsi="微软雅黑" w:cs="宋体"/>
          <w:kern w:val="0"/>
          <w:szCs w:val="32"/>
        </w:rPr>
        <w:t>财政拨款收入：指自治区财政部门当年拨付的资金。</w:t>
      </w:r>
    </w:p>
    <w:p>
      <w:pPr>
        <w:widowControl/>
        <w:spacing w:line="560" w:lineRule="exact"/>
        <w:ind w:firstLine="640" w:firstLineChars="200"/>
        <w:jc w:val="left"/>
        <w:rPr>
          <w:rFonts w:ascii="仿宋_GB2312" w:hAnsi="微软雅黑" w:cs="宋体"/>
          <w:kern w:val="0"/>
          <w:szCs w:val="32"/>
        </w:rPr>
      </w:pPr>
      <w:r>
        <w:rPr>
          <w:rFonts w:hint="eastAsia" w:ascii="仿宋_GB2312" w:hAnsi="仿宋_GB2312" w:eastAsia="仿宋_GB2312" w:cs="仿宋_GB2312"/>
          <w:b w:val="0"/>
          <w:bCs/>
          <w:color w:val="000000" w:themeColor="text1"/>
          <w:szCs w:val="32"/>
        </w:rPr>
        <w:t>（二）</w:t>
      </w:r>
      <w:r>
        <w:rPr>
          <w:rFonts w:hint="eastAsia" w:ascii="仿宋_GB2312" w:hAnsi="微软雅黑" w:cs="宋体"/>
          <w:kern w:val="0"/>
          <w:szCs w:val="32"/>
        </w:rPr>
        <w:t>事业收入：指事业单位开展专业业务活动及辅助活动取得的收入。</w:t>
      </w:r>
    </w:p>
    <w:p>
      <w:pPr>
        <w:widowControl/>
        <w:spacing w:line="560" w:lineRule="exact"/>
        <w:ind w:firstLine="640" w:firstLineChars="200"/>
        <w:jc w:val="left"/>
        <w:rPr>
          <w:rFonts w:ascii="仿宋_GB2312" w:hAnsi="微软雅黑" w:cs="宋体"/>
          <w:kern w:val="0"/>
          <w:szCs w:val="32"/>
        </w:rPr>
      </w:pPr>
      <w:r>
        <w:rPr>
          <w:rFonts w:hint="eastAsia" w:ascii="仿宋_GB2312" w:hAnsi="仿宋_GB2312" w:eastAsia="仿宋_GB2312" w:cs="仿宋_GB2312"/>
          <w:b w:val="0"/>
          <w:bCs/>
          <w:color w:val="000000" w:themeColor="text1"/>
          <w:szCs w:val="32"/>
        </w:rPr>
        <w:t>（三）其</w:t>
      </w:r>
      <w:r>
        <w:rPr>
          <w:rFonts w:hint="eastAsia" w:ascii="仿宋_GB2312" w:hAnsi="微软雅黑" w:cs="宋体"/>
          <w:kern w:val="0"/>
          <w:szCs w:val="32"/>
        </w:rPr>
        <w:t>他收入：指我单位除财政拨款、事业收入等以外的各项收入。</w:t>
      </w:r>
    </w:p>
    <w:p>
      <w:pPr>
        <w:widowControl/>
        <w:spacing w:line="560" w:lineRule="exact"/>
        <w:ind w:firstLine="640" w:firstLineChars="200"/>
        <w:jc w:val="left"/>
        <w:rPr>
          <w:rFonts w:hint="eastAsia" w:ascii="楷体_GB2312" w:hAnsi="楷体_GB2312" w:eastAsia="楷体_GB2312" w:cs="楷体_GB2312"/>
          <w:color w:val="000000" w:themeColor="text1"/>
          <w:kern w:val="0"/>
          <w:szCs w:val="32"/>
        </w:rPr>
      </w:pPr>
      <w:r>
        <w:rPr>
          <w:rFonts w:hint="eastAsia" w:ascii="楷体_GB2312" w:hAnsi="楷体_GB2312" w:eastAsia="楷体_GB2312" w:cs="楷体_GB2312"/>
          <w:color w:val="000000" w:themeColor="text1"/>
          <w:kern w:val="0"/>
          <w:szCs w:val="32"/>
        </w:rPr>
        <w:t>二、支出科目</w:t>
      </w:r>
    </w:p>
    <w:p>
      <w:pPr>
        <w:spacing w:line="560" w:lineRule="exact"/>
        <w:ind w:firstLine="640" w:firstLineChars="200"/>
        <w:rPr>
          <w:rFonts w:ascii="仿宋_GB2312" w:hAnsi="宋体"/>
          <w:szCs w:val="32"/>
        </w:rPr>
      </w:pPr>
      <w:r>
        <w:rPr>
          <w:rFonts w:hint="eastAsia" w:ascii="仿宋_GB2312" w:hAnsi="仿宋_GB2312" w:eastAsia="仿宋_GB2312" w:cs="仿宋_GB2312"/>
          <w:b w:val="0"/>
          <w:bCs/>
          <w:color w:val="000000" w:themeColor="text1"/>
          <w:szCs w:val="32"/>
        </w:rPr>
        <w:t>（一）</w:t>
      </w:r>
      <w:r>
        <w:rPr>
          <w:rFonts w:hint="eastAsia" w:ascii="仿宋_GB2312" w:hAnsi="宋体"/>
          <w:szCs w:val="32"/>
        </w:rPr>
        <w:t>资源勘探工业信息等支出：指用于资源勘探、制造业、建筑业、工业信息等方面支出。</w:t>
      </w:r>
    </w:p>
    <w:p>
      <w:pPr>
        <w:tabs>
          <w:tab w:val="center" w:pos="4475"/>
        </w:tabs>
        <w:spacing w:line="560" w:lineRule="exact"/>
        <w:ind w:firstLine="640" w:firstLineChars="200"/>
        <w:rPr>
          <w:rFonts w:ascii="仿宋_GB2312" w:hAnsi="微软雅黑" w:cs="宋体"/>
          <w:kern w:val="0"/>
          <w:szCs w:val="32"/>
        </w:rPr>
      </w:pPr>
      <w:r>
        <w:rPr>
          <w:rFonts w:hint="eastAsia" w:ascii="仿宋_GB2312" w:hAnsi="仿宋_GB2312" w:eastAsia="仿宋_GB2312" w:cs="仿宋_GB2312"/>
          <w:b w:val="0"/>
          <w:bCs/>
          <w:color w:val="000000" w:themeColor="text1"/>
          <w:szCs w:val="32"/>
        </w:rPr>
        <w:t>（二）</w:t>
      </w:r>
      <w:r>
        <w:rPr>
          <w:rFonts w:hint="eastAsia" w:ascii="仿宋_GB2312" w:hAnsi="微软雅黑" w:cs="宋体"/>
          <w:kern w:val="0"/>
          <w:szCs w:val="32"/>
        </w:rPr>
        <w:t>资源勘探工业信息等支出（类）资源勘探开发（款）其他资源勘探业支出（项）：指其他用于资源勘探业方面的支出。</w:t>
      </w:r>
    </w:p>
    <w:p>
      <w:pPr>
        <w:tabs>
          <w:tab w:val="center" w:pos="4475"/>
        </w:tabs>
        <w:spacing w:line="560" w:lineRule="exact"/>
        <w:ind w:firstLine="640" w:firstLineChars="200"/>
        <w:rPr>
          <w:rFonts w:ascii="仿宋_GB2312" w:hAnsi="宋体"/>
          <w:szCs w:val="32"/>
        </w:rPr>
      </w:pPr>
      <w:r>
        <w:rPr>
          <w:rFonts w:hint="eastAsia" w:ascii="仿宋_GB2312" w:hAnsi="仿宋_GB2312" w:eastAsia="仿宋_GB2312" w:cs="仿宋_GB2312"/>
          <w:b w:val="0"/>
          <w:bCs/>
          <w:color w:val="000000" w:themeColor="text1"/>
          <w:szCs w:val="32"/>
        </w:rPr>
        <w:t>（三）</w:t>
      </w:r>
      <w:r>
        <w:rPr>
          <w:rFonts w:hint="eastAsia" w:ascii="仿宋_GB2312" w:hAnsi="宋体"/>
          <w:szCs w:val="32"/>
        </w:rPr>
        <w:t>基本支出：指为保障机构正常运转、完成日常工作任务而发生的人员支出和公用支出。</w:t>
      </w:r>
    </w:p>
    <w:p>
      <w:pPr>
        <w:tabs>
          <w:tab w:val="center" w:pos="4475"/>
        </w:tabs>
        <w:spacing w:line="560" w:lineRule="exact"/>
        <w:ind w:firstLine="640" w:firstLineChars="200"/>
        <w:rPr>
          <w:rFonts w:ascii="黑体" w:eastAsia="黑体"/>
          <w:szCs w:val="32"/>
        </w:rPr>
      </w:pPr>
      <w:r>
        <w:rPr>
          <w:rFonts w:hint="eastAsia" w:ascii="仿宋_GB2312" w:hAnsi="仿宋_GB2312" w:eastAsia="仿宋_GB2312" w:cs="仿宋_GB2312"/>
          <w:b w:val="0"/>
          <w:bCs/>
          <w:color w:val="000000" w:themeColor="text1"/>
          <w:szCs w:val="32"/>
        </w:rPr>
        <w:t>（四）</w:t>
      </w:r>
      <w:r>
        <w:rPr>
          <w:rFonts w:hint="eastAsia" w:ascii="仿宋_GB2312" w:hAnsi="宋体"/>
          <w:szCs w:val="32"/>
        </w:rPr>
        <w:t>项目支出：指在基本支出之外为完成特定行政任务和事业发展目标所发生的支出。</w:t>
      </w:r>
    </w:p>
    <w:p>
      <w:pPr>
        <w:tabs>
          <w:tab w:val="center" w:pos="4475"/>
        </w:tabs>
        <w:spacing w:line="560" w:lineRule="exact"/>
        <w:ind w:firstLine="640" w:firstLineChars="200"/>
        <w:rPr>
          <w:rFonts w:ascii="仿宋_GB2312" w:hAnsi="宋体"/>
          <w:szCs w:val="32"/>
        </w:rPr>
      </w:pPr>
      <w:r>
        <w:rPr>
          <w:rFonts w:hint="eastAsia" w:ascii="仿宋_GB2312" w:hAnsi="仿宋_GB2312" w:eastAsia="仿宋_GB2312" w:cs="仿宋_GB2312"/>
          <w:b w:val="0"/>
          <w:bCs/>
          <w:color w:val="000000" w:themeColor="text1"/>
          <w:szCs w:val="32"/>
        </w:rPr>
        <w:t>（五）</w:t>
      </w:r>
      <w:r>
        <w:rPr>
          <w:rFonts w:hint="eastAsia" w:ascii="仿宋_GB2312" w:hAnsi="宋体"/>
          <w:szCs w:val="32"/>
        </w:rPr>
        <w:t>事业单位相关运行经费：为保障事业单位运行用于购买货物和服务的各项资金,包括办公及印刷费、邮电费、差旅费、会议费、日常维修费、专用材料及一般设备购置费、办公用房水电费、公务用车运行维护费以及其他费用。</w:t>
      </w:r>
    </w:p>
    <w:p>
      <w:pPr>
        <w:widowControl/>
        <w:spacing w:line="560" w:lineRule="exact"/>
        <w:ind w:firstLine="640" w:firstLineChars="200"/>
        <w:jc w:val="left"/>
        <w:rPr>
          <w:rFonts w:hint="eastAsia" w:ascii="黑体" w:hAnsi="黑体" w:eastAsia="黑体" w:cs="宋体"/>
          <w:color w:val="000000" w:themeColor="text1"/>
          <w:kern w:val="0"/>
          <w:szCs w:val="32"/>
        </w:rPr>
      </w:pPr>
    </w:p>
    <w:p>
      <w:pPr>
        <w:widowControl/>
        <w:spacing w:line="560" w:lineRule="exact"/>
        <w:ind w:firstLine="640" w:firstLineChars="200"/>
        <w:jc w:val="left"/>
        <w:rPr>
          <w:rFonts w:ascii="黑体" w:hAnsi="黑体" w:eastAsia="黑体" w:cs="宋体"/>
          <w:color w:val="000000" w:themeColor="text1"/>
          <w:kern w:val="0"/>
          <w:szCs w:val="32"/>
        </w:rPr>
      </w:pPr>
      <w:r>
        <w:rPr>
          <w:rFonts w:hint="eastAsia" w:ascii="黑体" w:hAnsi="黑体" w:eastAsia="黑体" w:cs="宋体"/>
          <w:color w:val="000000" w:themeColor="text1"/>
          <w:kern w:val="0"/>
          <w:szCs w:val="32"/>
        </w:rPr>
        <w:t>第四部分：广西壮族自治区第七地质队</w:t>
      </w:r>
      <w:r>
        <w:rPr>
          <w:rFonts w:ascii="黑体" w:hAnsi="黑体" w:eastAsia="黑体" w:cs="宋体"/>
          <w:color w:val="000000" w:themeColor="text1"/>
          <w:kern w:val="0"/>
          <w:szCs w:val="32"/>
        </w:rPr>
        <w:t>202</w:t>
      </w:r>
      <w:r>
        <w:rPr>
          <w:rFonts w:hint="eastAsia" w:ascii="黑体" w:hAnsi="黑体" w:eastAsia="黑体" w:cs="宋体"/>
          <w:color w:val="000000" w:themeColor="text1"/>
          <w:kern w:val="0"/>
          <w:szCs w:val="32"/>
        </w:rPr>
        <w:t>5年单位预算公开报表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bookmarkStart w:id="0" w:name="RANGE!A1:D60"/>
      <w:bookmarkEnd w:id="0"/>
      <w:r>
        <w:rPr>
          <w:rFonts w:hint="eastAsia" w:ascii="仿宋_GB2312" w:hAnsi="仿宋_GB2312" w:eastAsia="仿宋_GB2312" w:cs="仿宋_GB2312"/>
          <w:color w:val="000000" w:themeColor="text1"/>
          <w:kern w:val="0"/>
          <w:szCs w:val="32"/>
        </w:rPr>
        <w:t>表一：单位收支总体情况表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表二：单位收入总体情况表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表三：单位支出总体情况表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表四：财政拨款收支总体情况表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表五：一般公共预算支出情况表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表六：一般公共预算基本支出情况表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表七：财政拨款“三公”经费、会议费和培训费支出情况表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表八：政府性基金预算支出情况表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表九：国有资本经营预算支出情况表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表十：自治区本级项目绩效目标公开表</w:t>
      </w:r>
    </w:p>
    <w:p>
      <w:pPr>
        <w:widowControl/>
        <w:spacing w:line="560" w:lineRule="exact"/>
        <w:ind w:firstLine="640" w:firstLineChars="200"/>
        <w:jc w:val="left"/>
        <w:rPr>
          <w:rFonts w:ascii="黑体" w:hAnsi="黑体" w:eastAsia="黑体" w:cs="宋体"/>
          <w:color w:val="000000" w:themeColor="text1"/>
          <w:kern w:val="0"/>
          <w:szCs w:val="32"/>
        </w:rPr>
      </w:pPr>
      <w:r>
        <w:rPr>
          <w:rFonts w:hint="eastAsia" w:ascii="仿宋_GB2312" w:hAnsi="仿宋_GB2312" w:eastAsia="仿宋_GB2312" w:cs="仿宋_GB2312"/>
          <w:color w:val="000000" w:themeColor="text1"/>
          <w:kern w:val="0"/>
          <w:szCs w:val="32"/>
        </w:rPr>
        <w:t>表十一：对下转移支付项目绩效目标公开表</w:t>
      </w:r>
    </w:p>
    <w:p>
      <w:pPr>
        <w:tabs>
          <w:tab w:val="center" w:pos="4475"/>
        </w:tabs>
        <w:spacing w:line="560" w:lineRule="exact"/>
        <w:ind w:firstLine="640" w:firstLineChars="200"/>
        <w:rPr>
          <w:rFonts w:ascii="仿宋_GB2312"/>
          <w:szCs w:val="32"/>
        </w:rPr>
      </w:pPr>
      <w:r>
        <w:rPr>
          <w:rFonts w:hint="eastAsia" w:ascii="仿宋_GB2312"/>
          <w:szCs w:val="32"/>
        </w:rPr>
        <w:t>上述报表详见附件。</w:t>
      </w:r>
    </w:p>
    <w:p>
      <w:pPr>
        <w:spacing w:line="560" w:lineRule="exact"/>
        <w:rPr>
          <w:sz w:val="28"/>
          <w:szCs w:val="28"/>
        </w:rPr>
      </w:pPr>
    </w:p>
    <w:sectPr>
      <w:footerReference r:id="rId3" w:type="even"/>
      <w:pgSz w:w="11906" w:h="16838"/>
      <w:pgMar w:top="1418" w:right="1304" w:bottom="1440" w:left="1304" w:header="851" w:footer="992" w:gutter="0"/>
      <w:pgNumType w:fmt="numberInDash"/>
      <w:cols w:space="425"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M5YmEyMmNmMmRiNmU0YmJkNDE3NjBhYzFjN2U2ZDEifQ=="/>
  </w:docVars>
  <w:rsids>
    <w:rsidRoot w:val="00FC56C2"/>
    <w:rsid w:val="00000DF1"/>
    <w:rsid w:val="00005EDB"/>
    <w:rsid w:val="00006254"/>
    <w:rsid w:val="00007095"/>
    <w:rsid w:val="00007516"/>
    <w:rsid w:val="00011115"/>
    <w:rsid w:val="00011891"/>
    <w:rsid w:val="00012087"/>
    <w:rsid w:val="00012F8D"/>
    <w:rsid w:val="00013A97"/>
    <w:rsid w:val="00014F21"/>
    <w:rsid w:val="00016DBA"/>
    <w:rsid w:val="00020E77"/>
    <w:rsid w:val="000225BC"/>
    <w:rsid w:val="000238A5"/>
    <w:rsid w:val="00026712"/>
    <w:rsid w:val="00027559"/>
    <w:rsid w:val="00030DB1"/>
    <w:rsid w:val="0003361D"/>
    <w:rsid w:val="000346C7"/>
    <w:rsid w:val="0004107B"/>
    <w:rsid w:val="000428A5"/>
    <w:rsid w:val="00042C47"/>
    <w:rsid w:val="00045B1E"/>
    <w:rsid w:val="000461A1"/>
    <w:rsid w:val="000514F3"/>
    <w:rsid w:val="000540B6"/>
    <w:rsid w:val="00054B1D"/>
    <w:rsid w:val="00055A5B"/>
    <w:rsid w:val="00055B8F"/>
    <w:rsid w:val="00060D39"/>
    <w:rsid w:val="00061BF2"/>
    <w:rsid w:val="000634F2"/>
    <w:rsid w:val="00065272"/>
    <w:rsid w:val="00065673"/>
    <w:rsid w:val="00072B84"/>
    <w:rsid w:val="0007540B"/>
    <w:rsid w:val="00076E6F"/>
    <w:rsid w:val="000851EC"/>
    <w:rsid w:val="000854DA"/>
    <w:rsid w:val="000871DD"/>
    <w:rsid w:val="000935F4"/>
    <w:rsid w:val="00093A3A"/>
    <w:rsid w:val="00094754"/>
    <w:rsid w:val="0009519B"/>
    <w:rsid w:val="00095C3C"/>
    <w:rsid w:val="00096518"/>
    <w:rsid w:val="00096B42"/>
    <w:rsid w:val="00096BFF"/>
    <w:rsid w:val="00096DF0"/>
    <w:rsid w:val="000A0760"/>
    <w:rsid w:val="000A1006"/>
    <w:rsid w:val="000A1D3D"/>
    <w:rsid w:val="000A2745"/>
    <w:rsid w:val="000B0663"/>
    <w:rsid w:val="000B1E15"/>
    <w:rsid w:val="000B27EF"/>
    <w:rsid w:val="000B609C"/>
    <w:rsid w:val="000C0C53"/>
    <w:rsid w:val="000C2909"/>
    <w:rsid w:val="000C2C45"/>
    <w:rsid w:val="000C4171"/>
    <w:rsid w:val="000C63ED"/>
    <w:rsid w:val="000C714A"/>
    <w:rsid w:val="000C7934"/>
    <w:rsid w:val="000D02FC"/>
    <w:rsid w:val="000D2261"/>
    <w:rsid w:val="000D2D3C"/>
    <w:rsid w:val="000D2FD9"/>
    <w:rsid w:val="000D4456"/>
    <w:rsid w:val="000D54B5"/>
    <w:rsid w:val="000D7072"/>
    <w:rsid w:val="000E05CD"/>
    <w:rsid w:val="000E1BA5"/>
    <w:rsid w:val="000E3F9C"/>
    <w:rsid w:val="000F05E5"/>
    <w:rsid w:val="000F178C"/>
    <w:rsid w:val="000F1CBA"/>
    <w:rsid w:val="000F204E"/>
    <w:rsid w:val="000F26F1"/>
    <w:rsid w:val="000F3C07"/>
    <w:rsid w:val="000F3F69"/>
    <w:rsid w:val="000F5AF2"/>
    <w:rsid w:val="00101F92"/>
    <w:rsid w:val="00105D7D"/>
    <w:rsid w:val="00106D24"/>
    <w:rsid w:val="00107544"/>
    <w:rsid w:val="00110D64"/>
    <w:rsid w:val="0011123C"/>
    <w:rsid w:val="0011357F"/>
    <w:rsid w:val="00113DDF"/>
    <w:rsid w:val="001148FF"/>
    <w:rsid w:val="00116341"/>
    <w:rsid w:val="00116574"/>
    <w:rsid w:val="0011771E"/>
    <w:rsid w:val="0011775D"/>
    <w:rsid w:val="00120DAA"/>
    <w:rsid w:val="00124086"/>
    <w:rsid w:val="0012458D"/>
    <w:rsid w:val="00124A23"/>
    <w:rsid w:val="001267FF"/>
    <w:rsid w:val="001273F6"/>
    <w:rsid w:val="0013379C"/>
    <w:rsid w:val="001343E8"/>
    <w:rsid w:val="00134493"/>
    <w:rsid w:val="00136E5C"/>
    <w:rsid w:val="001372F2"/>
    <w:rsid w:val="0014152F"/>
    <w:rsid w:val="0014248A"/>
    <w:rsid w:val="001434DE"/>
    <w:rsid w:val="001436ED"/>
    <w:rsid w:val="00143851"/>
    <w:rsid w:val="00145900"/>
    <w:rsid w:val="00147B58"/>
    <w:rsid w:val="00152E86"/>
    <w:rsid w:val="00154596"/>
    <w:rsid w:val="00154D3B"/>
    <w:rsid w:val="00160D1D"/>
    <w:rsid w:val="00162540"/>
    <w:rsid w:val="0016297D"/>
    <w:rsid w:val="001636C3"/>
    <w:rsid w:val="00163FB1"/>
    <w:rsid w:val="00164667"/>
    <w:rsid w:val="0016637E"/>
    <w:rsid w:val="001718CF"/>
    <w:rsid w:val="001737CE"/>
    <w:rsid w:val="00175498"/>
    <w:rsid w:val="001768D0"/>
    <w:rsid w:val="0018526E"/>
    <w:rsid w:val="001921AF"/>
    <w:rsid w:val="00196C7A"/>
    <w:rsid w:val="001A1B89"/>
    <w:rsid w:val="001A5188"/>
    <w:rsid w:val="001A5AAF"/>
    <w:rsid w:val="001A67C6"/>
    <w:rsid w:val="001A6913"/>
    <w:rsid w:val="001B1455"/>
    <w:rsid w:val="001B2C45"/>
    <w:rsid w:val="001B2F96"/>
    <w:rsid w:val="001B4CDC"/>
    <w:rsid w:val="001B591B"/>
    <w:rsid w:val="001B64D9"/>
    <w:rsid w:val="001B704E"/>
    <w:rsid w:val="001C03AF"/>
    <w:rsid w:val="001C29C7"/>
    <w:rsid w:val="001C2CA1"/>
    <w:rsid w:val="001C48F7"/>
    <w:rsid w:val="001C5310"/>
    <w:rsid w:val="001C5ADC"/>
    <w:rsid w:val="001C5D93"/>
    <w:rsid w:val="001C5E39"/>
    <w:rsid w:val="001C62A9"/>
    <w:rsid w:val="001C7EE2"/>
    <w:rsid w:val="001D2477"/>
    <w:rsid w:val="001D39EC"/>
    <w:rsid w:val="001D59E2"/>
    <w:rsid w:val="001E016D"/>
    <w:rsid w:val="001E083D"/>
    <w:rsid w:val="001E403D"/>
    <w:rsid w:val="001E51CF"/>
    <w:rsid w:val="001F32C4"/>
    <w:rsid w:val="001F4735"/>
    <w:rsid w:val="001F5038"/>
    <w:rsid w:val="00201D8D"/>
    <w:rsid w:val="00201EE3"/>
    <w:rsid w:val="0020203E"/>
    <w:rsid w:val="00202597"/>
    <w:rsid w:val="00203F55"/>
    <w:rsid w:val="00204531"/>
    <w:rsid w:val="00205869"/>
    <w:rsid w:val="00206880"/>
    <w:rsid w:val="00207EE4"/>
    <w:rsid w:val="0021059B"/>
    <w:rsid w:val="00210845"/>
    <w:rsid w:val="00211905"/>
    <w:rsid w:val="00220D74"/>
    <w:rsid w:val="002211AD"/>
    <w:rsid w:val="0022157C"/>
    <w:rsid w:val="00222DF8"/>
    <w:rsid w:val="0022345D"/>
    <w:rsid w:val="002235BD"/>
    <w:rsid w:val="00224CFE"/>
    <w:rsid w:val="0023080E"/>
    <w:rsid w:val="002350B7"/>
    <w:rsid w:val="0023772E"/>
    <w:rsid w:val="00237ABC"/>
    <w:rsid w:val="00240388"/>
    <w:rsid w:val="00240FC7"/>
    <w:rsid w:val="00241760"/>
    <w:rsid w:val="00242E6C"/>
    <w:rsid w:val="002470BC"/>
    <w:rsid w:val="002562E4"/>
    <w:rsid w:val="00260848"/>
    <w:rsid w:val="00261B45"/>
    <w:rsid w:val="00263732"/>
    <w:rsid w:val="0027139F"/>
    <w:rsid w:val="00271640"/>
    <w:rsid w:val="00280E63"/>
    <w:rsid w:val="00282602"/>
    <w:rsid w:val="0028309A"/>
    <w:rsid w:val="00283729"/>
    <w:rsid w:val="00283732"/>
    <w:rsid w:val="00284287"/>
    <w:rsid w:val="00291CDA"/>
    <w:rsid w:val="002A7997"/>
    <w:rsid w:val="002B3531"/>
    <w:rsid w:val="002B6484"/>
    <w:rsid w:val="002B7419"/>
    <w:rsid w:val="002B7687"/>
    <w:rsid w:val="002B7F28"/>
    <w:rsid w:val="002C0A6E"/>
    <w:rsid w:val="002C0D73"/>
    <w:rsid w:val="002C17D3"/>
    <w:rsid w:val="002C1B14"/>
    <w:rsid w:val="002C2720"/>
    <w:rsid w:val="002C47C8"/>
    <w:rsid w:val="002D2F66"/>
    <w:rsid w:val="002D3485"/>
    <w:rsid w:val="002D63E3"/>
    <w:rsid w:val="002D7898"/>
    <w:rsid w:val="002D78F6"/>
    <w:rsid w:val="002D7BD9"/>
    <w:rsid w:val="002E0BDD"/>
    <w:rsid w:val="002E100B"/>
    <w:rsid w:val="002E2F23"/>
    <w:rsid w:val="002E5001"/>
    <w:rsid w:val="002E742F"/>
    <w:rsid w:val="002E7E8A"/>
    <w:rsid w:val="002F2BBD"/>
    <w:rsid w:val="002F52A7"/>
    <w:rsid w:val="002F61AA"/>
    <w:rsid w:val="002F654B"/>
    <w:rsid w:val="002F6F20"/>
    <w:rsid w:val="002F6F30"/>
    <w:rsid w:val="002F7BDA"/>
    <w:rsid w:val="00304B91"/>
    <w:rsid w:val="003064EC"/>
    <w:rsid w:val="00307317"/>
    <w:rsid w:val="00315C51"/>
    <w:rsid w:val="00316266"/>
    <w:rsid w:val="003204C9"/>
    <w:rsid w:val="00324132"/>
    <w:rsid w:val="003253A5"/>
    <w:rsid w:val="00325D26"/>
    <w:rsid w:val="003268AE"/>
    <w:rsid w:val="003304EF"/>
    <w:rsid w:val="00332171"/>
    <w:rsid w:val="00332414"/>
    <w:rsid w:val="00335A2D"/>
    <w:rsid w:val="00337865"/>
    <w:rsid w:val="003437B0"/>
    <w:rsid w:val="00344B8D"/>
    <w:rsid w:val="00346DD5"/>
    <w:rsid w:val="00347FA3"/>
    <w:rsid w:val="00350D86"/>
    <w:rsid w:val="003518E8"/>
    <w:rsid w:val="0035250F"/>
    <w:rsid w:val="0035514C"/>
    <w:rsid w:val="0036022D"/>
    <w:rsid w:val="003617AD"/>
    <w:rsid w:val="00366159"/>
    <w:rsid w:val="00366406"/>
    <w:rsid w:val="0037019E"/>
    <w:rsid w:val="00371E27"/>
    <w:rsid w:val="00375033"/>
    <w:rsid w:val="0037642B"/>
    <w:rsid w:val="003773AF"/>
    <w:rsid w:val="00377564"/>
    <w:rsid w:val="003779B2"/>
    <w:rsid w:val="003800B0"/>
    <w:rsid w:val="0038121C"/>
    <w:rsid w:val="0038131C"/>
    <w:rsid w:val="00390360"/>
    <w:rsid w:val="00390BA8"/>
    <w:rsid w:val="00391093"/>
    <w:rsid w:val="003947A7"/>
    <w:rsid w:val="0039491C"/>
    <w:rsid w:val="0039567A"/>
    <w:rsid w:val="00397DA2"/>
    <w:rsid w:val="003A0D21"/>
    <w:rsid w:val="003A18DD"/>
    <w:rsid w:val="003A1DC2"/>
    <w:rsid w:val="003A3122"/>
    <w:rsid w:val="003A5693"/>
    <w:rsid w:val="003A5839"/>
    <w:rsid w:val="003A5B41"/>
    <w:rsid w:val="003B1FED"/>
    <w:rsid w:val="003C1A01"/>
    <w:rsid w:val="003C39B7"/>
    <w:rsid w:val="003C49D6"/>
    <w:rsid w:val="003C5B9F"/>
    <w:rsid w:val="003C7C02"/>
    <w:rsid w:val="003D2C39"/>
    <w:rsid w:val="003D32DA"/>
    <w:rsid w:val="003D3B74"/>
    <w:rsid w:val="003D46BA"/>
    <w:rsid w:val="003D5156"/>
    <w:rsid w:val="003D6CC3"/>
    <w:rsid w:val="003D7574"/>
    <w:rsid w:val="003E0B04"/>
    <w:rsid w:val="003E1327"/>
    <w:rsid w:val="003E32D0"/>
    <w:rsid w:val="003E425C"/>
    <w:rsid w:val="003E6462"/>
    <w:rsid w:val="003E690D"/>
    <w:rsid w:val="003F5045"/>
    <w:rsid w:val="003F610F"/>
    <w:rsid w:val="003F6BCE"/>
    <w:rsid w:val="00402FB4"/>
    <w:rsid w:val="004070BF"/>
    <w:rsid w:val="00407613"/>
    <w:rsid w:val="004138A4"/>
    <w:rsid w:val="004147E1"/>
    <w:rsid w:val="00421313"/>
    <w:rsid w:val="004214D4"/>
    <w:rsid w:val="0042294D"/>
    <w:rsid w:val="004239E7"/>
    <w:rsid w:val="00423A14"/>
    <w:rsid w:val="00432776"/>
    <w:rsid w:val="004363A3"/>
    <w:rsid w:val="0043763D"/>
    <w:rsid w:val="004434ED"/>
    <w:rsid w:val="004460E7"/>
    <w:rsid w:val="004466BC"/>
    <w:rsid w:val="00446EA7"/>
    <w:rsid w:val="004516AB"/>
    <w:rsid w:val="0045349B"/>
    <w:rsid w:val="0045780A"/>
    <w:rsid w:val="00457E0A"/>
    <w:rsid w:val="0046440E"/>
    <w:rsid w:val="00466F78"/>
    <w:rsid w:val="0047152D"/>
    <w:rsid w:val="00472038"/>
    <w:rsid w:val="004727D5"/>
    <w:rsid w:val="00474014"/>
    <w:rsid w:val="004763C3"/>
    <w:rsid w:val="00481182"/>
    <w:rsid w:val="00482B67"/>
    <w:rsid w:val="00482E54"/>
    <w:rsid w:val="00483638"/>
    <w:rsid w:val="00483831"/>
    <w:rsid w:val="00484383"/>
    <w:rsid w:val="0048470E"/>
    <w:rsid w:val="00490BC6"/>
    <w:rsid w:val="0049306F"/>
    <w:rsid w:val="004956E2"/>
    <w:rsid w:val="00497562"/>
    <w:rsid w:val="00497678"/>
    <w:rsid w:val="004A1FE6"/>
    <w:rsid w:val="004A4580"/>
    <w:rsid w:val="004A5374"/>
    <w:rsid w:val="004A5586"/>
    <w:rsid w:val="004A712B"/>
    <w:rsid w:val="004A7C76"/>
    <w:rsid w:val="004B0B24"/>
    <w:rsid w:val="004B6415"/>
    <w:rsid w:val="004C39B5"/>
    <w:rsid w:val="004C62F1"/>
    <w:rsid w:val="004C65EA"/>
    <w:rsid w:val="004C6FCC"/>
    <w:rsid w:val="004D540C"/>
    <w:rsid w:val="004E24C2"/>
    <w:rsid w:val="004E3B08"/>
    <w:rsid w:val="004E5DD8"/>
    <w:rsid w:val="004E6109"/>
    <w:rsid w:val="004E6C85"/>
    <w:rsid w:val="004E702E"/>
    <w:rsid w:val="004E735F"/>
    <w:rsid w:val="004E7568"/>
    <w:rsid w:val="004E791D"/>
    <w:rsid w:val="004F1D1B"/>
    <w:rsid w:val="004F5527"/>
    <w:rsid w:val="004F6E8F"/>
    <w:rsid w:val="005023A0"/>
    <w:rsid w:val="00505D2A"/>
    <w:rsid w:val="00507E6C"/>
    <w:rsid w:val="005103C4"/>
    <w:rsid w:val="0051052A"/>
    <w:rsid w:val="00511135"/>
    <w:rsid w:val="0051268D"/>
    <w:rsid w:val="00512E8B"/>
    <w:rsid w:val="005130B7"/>
    <w:rsid w:val="0051455E"/>
    <w:rsid w:val="00515E99"/>
    <w:rsid w:val="00516C22"/>
    <w:rsid w:val="0052069D"/>
    <w:rsid w:val="00521AC6"/>
    <w:rsid w:val="00521EAB"/>
    <w:rsid w:val="00522C7D"/>
    <w:rsid w:val="00523F68"/>
    <w:rsid w:val="00527947"/>
    <w:rsid w:val="00530D74"/>
    <w:rsid w:val="00533E0A"/>
    <w:rsid w:val="005343BA"/>
    <w:rsid w:val="00536876"/>
    <w:rsid w:val="005402F2"/>
    <w:rsid w:val="0054251D"/>
    <w:rsid w:val="00542E85"/>
    <w:rsid w:val="00543141"/>
    <w:rsid w:val="00544814"/>
    <w:rsid w:val="00546589"/>
    <w:rsid w:val="0054713F"/>
    <w:rsid w:val="00551247"/>
    <w:rsid w:val="00551BEF"/>
    <w:rsid w:val="00556A54"/>
    <w:rsid w:val="00557A86"/>
    <w:rsid w:val="005603E9"/>
    <w:rsid w:val="00565C7E"/>
    <w:rsid w:val="00567D81"/>
    <w:rsid w:val="00571A50"/>
    <w:rsid w:val="00571D97"/>
    <w:rsid w:val="005720D8"/>
    <w:rsid w:val="00574042"/>
    <w:rsid w:val="00574EAA"/>
    <w:rsid w:val="005808F0"/>
    <w:rsid w:val="00583B4C"/>
    <w:rsid w:val="00584971"/>
    <w:rsid w:val="00585672"/>
    <w:rsid w:val="0058604B"/>
    <w:rsid w:val="005864F6"/>
    <w:rsid w:val="00594507"/>
    <w:rsid w:val="005963F8"/>
    <w:rsid w:val="005A061C"/>
    <w:rsid w:val="005A06DD"/>
    <w:rsid w:val="005A0A66"/>
    <w:rsid w:val="005A2943"/>
    <w:rsid w:val="005A575F"/>
    <w:rsid w:val="005A66C4"/>
    <w:rsid w:val="005A6718"/>
    <w:rsid w:val="005A6D05"/>
    <w:rsid w:val="005B12A2"/>
    <w:rsid w:val="005B352E"/>
    <w:rsid w:val="005B3737"/>
    <w:rsid w:val="005B3C22"/>
    <w:rsid w:val="005B52CF"/>
    <w:rsid w:val="005B6F0E"/>
    <w:rsid w:val="005C0A07"/>
    <w:rsid w:val="005C1051"/>
    <w:rsid w:val="005C1EA1"/>
    <w:rsid w:val="005C1FD6"/>
    <w:rsid w:val="005C25A4"/>
    <w:rsid w:val="005C73AF"/>
    <w:rsid w:val="005D3A87"/>
    <w:rsid w:val="005D4C37"/>
    <w:rsid w:val="005D6530"/>
    <w:rsid w:val="005E6C25"/>
    <w:rsid w:val="005F3FDF"/>
    <w:rsid w:val="00601391"/>
    <w:rsid w:val="0060145A"/>
    <w:rsid w:val="006014A3"/>
    <w:rsid w:val="00604AE2"/>
    <w:rsid w:val="006067F6"/>
    <w:rsid w:val="00613902"/>
    <w:rsid w:val="00615090"/>
    <w:rsid w:val="006158A7"/>
    <w:rsid w:val="00615ADD"/>
    <w:rsid w:val="00616C65"/>
    <w:rsid w:val="00617988"/>
    <w:rsid w:val="00623349"/>
    <w:rsid w:val="00623492"/>
    <w:rsid w:val="00623C07"/>
    <w:rsid w:val="006241F3"/>
    <w:rsid w:val="0062439F"/>
    <w:rsid w:val="00624B35"/>
    <w:rsid w:val="00627CF2"/>
    <w:rsid w:val="00631FDE"/>
    <w:rsid w:val="00633169"/>
    <w:rsid w:val="00633177"/>
    <w:rsid w:val="00636D8E"/>
    <w:rsid w:val="0063770B"/>
    <w:rsid w:val="00644A6F"/>
    <w:rsid w:val="00645D08"/>
    <w:rsid w:val="006502A7"/>
    <w:rsid w:val="00650AE1"/>
    <w:rsid w:val="0065200F"/>
    <w:rsid w:val="006550E3"/>
    <w:rsid w:val="00655BE1"/>
    <w:rsid w:val="00657585"/>
    <w:rsid w:val="00657BF0"/>
    <w:rsid w:val="006605FA"/>
    <w:rsid w:val="00660695"/>
    <w:rsid w:val="006606DD"/>
    <w:rsid w:val="00665775"/>
    <w:rsid w:val="00667ADC"/>
    <w:rsid w:val="00675A94"/>
    <w:rsid w:val="00681E35"/>
    <w:rsid w:val="00682DBA"/>
    <w:rsid w:val="00683381"/>
    <w:rsid w:val="006834A2"/>
    <w:rsid w:val="00684A74"/>
    <w:rsid w:val="00685178"/>
    <w:rsid w:val="0068653E"/>
    <w:rsid w:val="006927A2"/>
    <w:rsid w:val="00693794"/>
    <w:rsid w:val="00694846"/>
    <w:rsid w:val="00694892"/>
    <w:rsid w:val="00696682"/>
    <w:rsid w:val="0069738D"/>
    <w:rsid w:val="006A045E"/>
    <w:rsid w:val="006A428A"/>
    <w:rsid w:val="006A4439"/>
    <w:rsid w:val="006A4F6D"/>
    <w:rsid w:val="006A5785"/>
    <w:rsid w:val="006B1461"/>
    <w:rsid w:val="006B1786"/>
    <w:rsid w:val="006B327A"/>
    <w:rsid w:val="006B3861"/>
    <w:rsid w:val="006B448D"/>
    <w:rsid w:val="006B4D60"/>
    <w:rsid w:val="006B5CC6"/>
    <w:rsid w:val="006C0A0D"/>
    <w:rsid w:val="006C0FF1"/>
    <w:rsid w:val="006C13A6"/>
    <w:rsid w:val="006C1512"/>
    <w:rsid w:val="006C2B68"/>
    <w:rsid w:val="006C2E7E"/>
    <w:rsid w:val="006C2ED0"/>
    <w:rsid w:val="006C3EA6"/>
    <w:rsid w:val="006C7389"/>
    <w:rsid w:val="006C7F11"/>
    <w:rsid w:val="006D1E42"/>
    <w:rsid w:val="006D2F4C"/>
    <w:rsid w:val="006D316C"/>
    <w:rsid w:val="006D67C9"/>
    <w:rsid w:val="006E4829"/>
    <w:rsid w:val="006E521F"/>
    <w:rsid w:val="006F0B90"/>
    <w:rsid w:val="006F2355"/>
    <w:rsid w:val="006F239E"/>
    <w:rsid w:val="006F625B"/>
    <w:rsid w:val="006F63FD"/>
    <w:rsid w:val="006F6E35"/>
    <w:rsid w:val="007014D7"/>
    <w:rsid w:val="00701662"/>
    <w:rsid w:val="0070346F"/>
    <w:rsid w:val="0070404C"/>
    <w:rsid w:val="007043EF"/>
    <w:rsid w:val="00705A9E"/>
    <w:rsid w:val="00705E6A"/>
    <w:rsid w:val="00707B71"/>
    <w:rsid w:val="00711BA5"/>
    <w:rsid w:val="00720689"/>
    <w:rsid w:val="00723A41"/>
    <w:rsid w:val="00726AF5"/>
    <w:rsid w:val="007277DB"/>
    <w:rsid w:val="00732A14"/>
    <w:rsid w:val="007331DC"/>
    <w:rsid w:val="00733EDF"/>
    <w:rsid w:val="00734A48"/>
    <w:rsid w:val="007356BF"/>
    <w:rsid w:val="00740BDF"/>
    <w:rsid w:val="007450EF"/>
    <w:rsid w:val="007463E8"/>
    <w:rsid w:val="00746750"/>
    <w:rsid w:val="007479B9"/>
    <w:rsid w:val="00747A34"/>
    <w:rsid w:val="00752F6A"/>
    <w:rsid w:val="00754CC0"/>
    <w:rsid w:val="00754DC5"/>
    <w:rsid w:val="00755058"/>
    <w:rsid w:val="0075534C"/>
    <w:rsid w:val="00755AE7"/>
    <w:rsid w:val="00755D60"/>
    <w:rsid w:val="0075611F"/>
    <w:rsid w:val="00756DFC"/>
    <w:rsid w:val="00760869"/>
    <w:rsid w:val="007612D2"/>
    <w:rsid w:val="00762A2D"/>
    <w:rsid w:val="00763E76"/>
    <w:rsid w:val="00764D05"/>
    <w:rsid w:val="0077125B"/>
    <w:rsid w:val="00772125"/>
    <w:rsid w:val="00775165"/>
    <w:rsid w:val="00775C46"/>
    <w:rsid w:val="00777534"/>
    <w:rsid w:val="00780167"/>
    <w:rsid w:val="0078212F"/>
    <w:rsid w:val="0078532F"/>
    <w:rsid w:val="00785919"/>
    <w:rsid w:val="007872AF"/>
    <w:rsid w:val="007877C8"/>
    <w:rsid w:val="00790F27"/>
    <w:rsid w:val="007925CD"/>
    <w:rsid w:val="007A40ED"/>
    <w:rsid w:val="007A704A"/>
    <w:rsid w:val="007A7D64"/>
    <w:rsid w:val="007B16C3"/>
    <w:rsid w:val="007B1941"/>
    <w:rsid w:val="007B3B88"/>
    <w:rsid w:val="007B4492"/>
    <w:rsid w:val="007C09EE"/>
    <w:rsid w:val="007C2185"/>
    <w:rsid w:val="007C2DC6"/>
    <w:rsid w:val="007C7ACF"/>
    <w:rsid w:val="007D0038"/>
    <w:rsid w:val="007D194A"/>
    <w:rsid w:val="007D6138"/>
    <w:rsid w:val="007E076E"/>
    <w:rsid w:val="007E4005"/>
    <w:rsid w:val="007E5A6E"/>
    <w:rsid w:val="007E6843"/>
    <w:rsid w:val="007E7AE7"/>
    <w:rsid w:val="007F1D88"/>
    <w:rsid w:val="007F2B46"/>
    <w:rsid w:val="007F414C"/>
    <w:rsid w:val="007F548F"/>
    <w:rsid w:val="007F5DFF"/>
    <w:rsid w:val="0080099A"/>
    <w:rsid w:val="00801BD4"/>
    <w:rsid w:val="008020CA"/>
    <w:rsid w:val="0080751C"/>
    <w:rsid w:val="00807F08"/>
    <w:rsid w:val="008102E3"/>
    <w:rsid w:val="008118B7"/>
    <w:rsid w:val="00811E27"/>
    <w:rsid w:val="00817C7A"/>
    <w:rsid w:val="00826D6B"/>
    <w:rsid w:val="00827C26"/>
    <w:rsid w:val="008300B1"/>
    <w:rsid w:val="00832B51"/>
    <w:rsid w:val="0083395D"/>
    <w:rsid w:val="0083431A"/>
    <w:rsid w:val="0083677D"/>
    <w:rsid w:val="008402CE"/>
    <w:rsid w:val="00840D47"/>
    <w:rsid w:val="00841688"/>
    <w:rsid w:val="00842C83"/>
    <w:rsid w:val="00852C68"/>
    <w:rsid w:val="00853C28"/>
    <w:rsid w:val="00855E0B"/>
    <w:rsid w:val="00857203"/>
    <w:rsid w:val="0086373D"/>
    <w:rsid w:val="008649F9"/>
    <w:rsid w:val="0086541B"/>
    <w:rsid w:val="00867749"/>
    <w:rsid w:val="00870527"/>
    <w:rsid w:val="00872590"/>
    <w:rsid w:val="00876F80"/>
    <w:rsid w:val="00883304"/>
    <w:rsid w:val="0088682A"/>
    <w:rsid w:val="00890037"/>
    <w:rsid w:val="00891B58"/>
    <w:rsid w:val="008924E8"/>
    <w:rsid w:val="00893BF7"/>
    <w:rsid w:val="008947BA"/>
    <w:rsid w:val="00894B5A"/>
    <w:rsid w:val="00895EF3"/>
    <w:rsid w:val="008962C1"/>
    <w:rsid w:val="00896411"/>
    <w:rsid w:val="008A2D89"/>
    <w:rsid w:val="008A38A6"/>
    <w:rsid w:val="008A3CF1"/>
    <w:rsid w:val="008A4B34"/>
    <w:rsid w:val="008A51E0"/>
    <w:rsid w:val="008A5521"/>
    <w:rsid w:val="008A784B"/>
    <w:rsid w:val="008B0F7F"/>
    <w:rsid w:val="008B369B"/>
    <w:rsid w:val="008B49D8"/>
    <w:rsid w:val="008B6F3D"/>
    <w:rsid w:val="008B701B"/>
    <w:rsid w:val="008B714A"/>
    <w:rsid w:val="008B7607"/>
    <w:rsid w:val="008C2F46"/>
    <w:rsid w:val="008C60E6"/>
    <w:rsid w:val="008D0523"/>
    <w:rsid w:val="008D0B48"/>
    <w:rsid w:val="008D141F"/>
    <w:rsid w:val="008D30C6"/>
    <w:rsid w:val="008D40F6"/>
    <w:rsid w:val="008D5E29"/>
    <w:rsid w:val="008D759A"/>
    <w:rsid w:val="008E513D"/>
    <w:rsid w:val="008E6D7E"/>
    <w:rsid w:val="008F0D64"/>
    <w:rsid w:val="008F15D5"/>
    <w:rsid w:val="008F292F"/>
    <w:rsid w:val="008F2AB8"/>
    <w:rsid w:val="008F3DDD"/>
    <w:rsid w:val="008F4E8B"/>
    <w:rsid w:val="008F63D8"/>
    <w:rsid w:val="00900660"/>
    <w:rsid w:val="00900E1F"/>
    <w:rsid w:val="009021CD"/>
    <w:rsid w:val="00904754"/>
    <w:rsid w:val="0090476C"/>
    <w:rsid w:val="00906785"/>
    <w:rsid w:val="009108A7"/>
    <w:rsid w:val="00911712"/>
    <w:rsid w:val="00911CAA"/>
    <w:rsid w:val="009159D6"/>
    <w:rsid w:val="00915E4C"/>
    <w:rsid w:val="00922DCD"/>
    <w:rsid w:val="00923E16"/>
    <w:rsid w:val="00923E83"/>
    <w:rsid w:val="00924E5F"/>
    <w:rsid w:val="00924E77"/>
    <w:rsid w:val="00924FF3"/>
    <w:rsid w:val="0092508E"/>
    <w:rsid w:val="00925748"/>
    <w:rsid w:val="00931BAA"/>
    <w:rsid w:val="00931EB1"/>
    <w:rsid w:val="00934797"/>
    <w:rsid w:val="00941B42"/>
    <w:rsid w:val="00943409"/>
    <w:rsid w:val="009447F2"/>
    <w:rsid w:val="009452F8"/>
    <w:rsid w:val="009453FA"/>
    <w:rsid w:val="00947985"/>
    <w:rsid w:val="009516E1"/>
    <w:rsid w:val="009537DA"/>
    <w:rsid w:val="009559C8"/>
    <w:rsid w:val="009561CD"/>
    <w:rsid w:val="009600C1"/>
    <w:rsid w:val="00960998"/>
    <w:rsid w:val="00960B0C"/>
    <w:rsid w:val="009614A4"/>
    <w:rsid w:val="009619C1"/>
    <w:rsid w:val="0096321F"/>
    <w:rsid w:val="009677A6"/>
    <w:rsid w:val="00967D2A"/>
    <w:rsid w:val="0097101E"/>
    <w:rsid w:val="0097426C"/>
    <w:rsid w:val="0097437B"/>
    <w:rsid w:val="00975E87"/>
    <w:rsid w:val="00976031"/>
    <w:rsid w:val="009767FF"/>
    <w:rsid w:val="009769DA"/>
    <w:rsid w:val="00982131"/>
    <w:rsid w:val="009831F5"/>
    <w:rsid w:val="009858C6"/>
    <w:rsid w:val="009878E7"/>
    <w:rsid w:val="00993468"/>
    <w:rsid w:val="0099390F"/>
    <w:rsid w:val="00997332"/>
    <w:rsid w:val="009975D5"/>
    <w:rsid w:val="009A5258"/>
    <w:rsid w:val="009A5DDA"/>
    <w:rsid w:val="009A6193"/>
    <w:rsid w:val="009A63D7"/>
    <w:rsid w:val="009A754A"/>
    <w:rsid w:val="009C09AA"/>
    <w:rsid w:val="009C2C33"/>
    <w:rsid w:val="009C4681"/>
    <w:rsid w:val="009C6EE6"/>
    <w:rsid w:val="009D3E40"/>
    <w:rsid w:val="009D4A55"/>
    <w:rsid w:val="009D5383"/>
    <w:rsid w:val="009E043E"/>
    <w:rsid w:val="009E1D97"/>
    <w:rsid w:val="009E4E3B"/>
    <w:rsid w:val="009F787E"/>
    <w:rsid w:val="00A04529"/>
    <w:rsid w:val="00A0712A"/>
    <w:rsid w:val="00A10BA4"/>
    <w:rsid w:val="00A12FC5"/>
    <w:rsid w:val="00A15EA1"/>
    <w:rsid w:val="00A20A39"/>
    <w:rsid w:val="00A22477"/>
    <w:rsid w:val="00A24814"/>
    <w:rsid w:val="00A27777"/>
    <w:rsid w:val="00A353DD"/>
    <w:rsid w:val="00A3735E"/>
    <w:rsid w:val="00A412CA"/>
    <w:rsid w:val="00A41EC8"/>
    <w:rsid w:val="00A42461"/>
    <w:rsid w:val="00A43B7F"/>
    <w:rsid w:val="00A452C1"/>
    <w:rsid w:val="00A5009A"/>
    <w:rsid w:val="00A54B1A"/>
    <w:rsid w:val="00A55B54"/>
    <w:rsid w:val="00A56655"/>
    <w:rsid w:val="00A56F1F"/>
    <w:rsid w:val="00A57AA2"/>
    <w:rsid w:val="00A61531"/>
    <w:rsid w:val="00A64D6A"/>
    <w:rsid w:val="00A66195"/>
    <w:rsid w:val="00A66341"/>
    <w:rsid w:val="00A719AD"/>
    <w:rsid w:val="00A7346C"/>
    <w:rsid w:val="00A77F44"/>
    <w:rsid w:val="00A80174"/>
    <w:rsid w:val="00A811D3"/>
    <w:rsid w:val="00A81C16"/>
    <w:rsid w:val="00A878B2"/>
    <w:rsid w:val="00A87CCC"/>
    <w:rsid w:val="00A92ABE"/>
    <w:rsid w:val="00A9453B"/>
    <w:rsid w:val="00A9482D"/>
    <w:rsid w:val="00AA0D35"/>
    <w:rsid w:val="00AA0F2F"/>
    <w:rsid w:val="00AA7260"/>
    <w:rsid w:val="00AA78E7"/>
    <w:rsid w:val="00AB263C"/>
    <w:rsid w:val="00AB26ED"/>
    <w:rsid w:val="00AB3198"/>
    <w:rsid w:val="00AB34CC"/>
    <w:rsid w:val="00AB3546"/>
    <w:rsid w:val="00AC0D3F"/>
    <w:rsid w:val="00AD089C"/>
    <w:rsid w:val="00AD1C4B"/>
    <w:rsid w:val="00AD22F4"/>
    <w:rsid w:val="00AD4940"/>
    <w:rsid w:val="00AD5266"/>
    <w:rsid w:val="00AD5A0C"/>
    <w:rsid w:val="00AD5BF2"/>
    <w:rsid w:val="00AE4713"/>
    <w:rsid w:val="00AF117E"/>
    <w:rsid w:val="00AF1FBF"/>
    <w:rsid w:val="00AF33F1"/>
    <w:rsid w:val="00AF6645"/>
    <w:rsid w:val="00B0003B"/>
    <w:rsid w:val="00B00661"/>
    <w:rsid w:val="00B01A0F"/>
    <w:rsid w:val="00B01F4C"/>
    <w:rsid w:val="00B027F0"/>
    <w:rsid w:val="00B04A69"/>
    <w:rsid w:val="00B07D1B"/>
    <w:rsid w:val="00B121B3"/>
    <w:rsid w:val="00B1300A"/>
    <w:rsid w:val="00B136B8"/>
    <w:rsid w:val="00B1416B"/>
    <w:rsid w:val="00B159C9"/>
    <w:rsid w:val="00B16898"/>
    <w:rsid w:val="00B20810"/>
    <w:rsid w:val="00B249F9"/>
    <w:rsid w:val="00B25D3E"/>
    <w:rsid w:val="00B27352"/>
    <w:rsid w:val="00B30C06"/>
    <w:rsid w:val="00B31095"/>
    <w:rsid w:val="00B37D18"/>
    <w:rsid w:val="00B40F22"/>
    <w:rsid w:val="00B416B0"/>
    <w:rsid w:val="00B424AA"/>
    <w:rsid w:val="00B43B30"/>
    <w:rsid w:val="00B4531F"/>
    <w:rsid w:val="00B46323"/>
    <w:rsid w:val="00B463D6"/>
    <w:rsid w:val="00B466A9"/>
    <w:rsid w:val="00B509BF"/>
    <w:rsid w:val="00B50D5B"/>
    <w:rsid w:val="00B54B34"/>
    <w:rsid w:val="00B56DCD"/>
    <w:rsid w:val="00B5790D"/>
    <w:rsid w:val="00B62298"/>
    <w:rsid w:val="00B62597"/>
    <w:rsid w:val="00B62948"/>
    <w:rsid w:val="00B67A80"/>
    <w:rsid w:val="00B67F16"/>
    <w:rsid w:val="00B72EAD"/>
    <w:rsid w:val="00B7323E"/>
    <w:rsid w:val="00B7579D"/>
    <w:rsid w:val="00B76AAC"/>
    <w:rsid w:val="00B821ED"/>
    <w:rsid w:val="00B831FD"/>
    <w:rsid w:val="00B8325C"/>
    <w:rsid w:val="00B836C0"/>
    <w:rsid w:val="00B83AD7"/>
    <w:rsid w:val="00B83C6F"/>
    <w:rsid w:val="00B85D52"/>
    <w:rsid w:val="00B91861"/>
    <w:rsid w:val="00B92EF2"/>
    <w:rsid w:val="00B94CA5"/>
    <w:rsid w:val="00B95BD7"/>
    <w:rsid w:val="00B9772E"/>
    <w:rsid w:val="00BA046F"/>
    <w:rsid w:val="00BA307C"/>
    <w:rsid w:val="00BA30C8"/>
    <w:rsid w:val="00BA3902"/>
    <w:rsid w:val="00BA3DC4"/>
    <w:rsid w:val="00BA58EC"/>
    <w:rsid w:val="00BA5E18"/>
    <w:rsid w:val="00BA63C1"/>
    <w:rsid w:val="00BA7049"/>
    <w:rsid w:val="00BB084C"/>
    <w:rsid w:val="00BB386D"/>
    <w:rsid w:val="00BB39D6"/>
    <w:rsid w:val="00BB5A92"/>
    <w:rsid w:val="00BB5EBC"/>
    <w:rsid w:val="00BB6A9E"/>
    <w:rsid w:val="00BB7653"/>
    <w:rsid w:val="00BC3740"/>
    <w:rsid w:val="00BC4CB4"/>
    <w:rsid w:val="00BC5145"/>
    <w:rsid w:val="00BC6C81"/>
    <w:rsid w:val="00BC78DA"/>
    <w:rsid w:val="00BD00D4"/>
    <w:rsid w:val="00BD01AF"/>
    <w:rsid w:val="00BD16EA"/>
    <w:rsid w:val="00BD2C59"/>
    <w:rsid w:val="00BD353B"/>
    <w:rsid w:val="00BD440B"/>
    <w:rsid w:val="00BD73DB"/>
    <w:rsid w:val="00BD7A07"/>
    <w:rsid w:val="00BD7A64"/>
    <w:rsid w:val="00BE31FE"/>
    <w:rsid w:val="00BE3209"/>
    <w:rsid w:val="00BE36A8"/>
    <w:rsid w:val="00BE3E41"/>
    <w:rsid w:val="00BE58BD"/>
    <w:rsid w:val="00BE5CDB"/>
    <w:rsid w:val="00BE5E95"/>
    <w:rsid w:val="00BF0BC8"/>
    <w:rsid w:val="00BF2E6A"/>
    <w:rsid w:val="00BF3D00"/>
    <w:rsid w:val="00BF499F"/>
    <w:rsid w:val="00BF6872"/>
    <w:rsid w:val="00BF7DB1"/>
    <w:rsid w:val="00C01049"/>
    <w:rsid w:val="00C073FB"/>
    <w:rsid w:val="00C07CB7"/>
    <w:rsid w:val="00C07F8E"/>
    <w:rsid w:val="00C11D1A"/>
    <w:rsid w:val="00C13CAF"/>
    <w:rsid w:val="00C16572"/>
    <w:rsid w:val="00C16FEB"/>
    <w:rsid w:val="00C20A90"/>
    <w:rsid w:val="00C21E08"/>
    <w:rsid w:val="00C2281F"/>
    <w:rsid w:val="00C22FA1"/>
    <w:rsid w:val="00C23221"/>
    <w:rsid w:val="00C30BC0"/>
    <w:rsid w:val="00C32187"/>
    <w:rsid w:val="00C33E21"/>
    <w:rsid w:val="00C351AA"/>
    <w:rsid w:val="00C36C7B"/>
    <w:rsid w:val="00C40689"/>
    <w:rsid w:val="00C438BF"/>
    <w:rsid w:val="00C442CF"/>
    <w:rsid w:val="00C4600D"/>
    <w:rsid w:val="00C471CA"/>
    <w:rsid w:val="00C472DE"/>
    <w:rsid w:val="00C63422"/>
    <w:rsid w:val="00C64E3A"/>
    <w:rsid w:val="00C709B8"/>
    <w:rsid w:val="00C726DB"/>
    <w:rsid w:val="00C727CE"/>
    <w:rsid w:val="00C73C5A"/>
    <w:rsid w:val="00C76DAE"/>
    <w:rsid w:val="00C77D12"/>
    <w:rsid w:val="00C80028"/>
    <w:rsid w:val="00C803A4"/>
    <w:rsid w:val="00C80970"/>
    <w:rsid w:val="00C81CA5"/>
    <w:rsid w:val="00C82CFD"/>
    <w:rsid w:val="00C8383B"/>
    <w:rsid w:val="00C854C4"/>
    <w:rsid w:val="00C873BD"/>
    <w:rsid w:val="00C87EE8"/>
    <w:rsid w:val="00C918F2"/>
    <w:rsid w:val="00C91A4A"/>
    <w:rsid w:val="00C934FB"/>
    <w:rsid w:val="00C9393E"/>
    <w:rsid w:val="00C9475B"/>
    <w:rsid w:val="00C957E9"/>
    <w:rsid w:val="00CA0552"/>
    <w:rsid w:val="00CA07FB"/>
    <w:rsid w:val="00CA2502"/>
    <w:rsid w:val="00CA5194"/>
    <w:rsid w:val="00CB3A88"/>
    <w:rsid w:val="00CB3AF5"/>
    <w:rsid w:val="00CB411F"/>
    <w:rsid w:val="00CB5C99"/>
    <w:rsid w:val="00CB7CF7"/>
    <w:rsid w:val="00CC15D3"/>
    <w:rsid w:val="00CC2500"/>
    <w:rsid w:val="00CC3183"/>
    <w:rsid w:val="00CC3DA3"/>
    <w:rsid w:val="00CC3FD3"/>
    <w:rsid w:val="00CC4855"/>
    <w:rsid w:val="00CC6EE1"/>
    <w:rsid w:val="00CD2FD7"/>
    <w:rsid w:val="00CD5D06"/>
    <w:rsid w:val="00CE0878"/>
    <w:rsid w:val="00CE3192"/>
    <w:rsid w:val="00CE3231"/>
    <w:rsid w:val="00CE4D4F"/>
    <w:rsid w:val="00CE5370"/>
    <w:rsid w:val="00CE6873"/>
    <w:rsid w:val="00CF0087"/>
    <w:rsid w:val="00CF03B2"/>
    <w:rsid w:val="00CF07EC"/>
    <w:rsid w:val="00CF1A5B"/>
    <w:rsid w:val="00CF5BC4"/>
    <w:rsid w:val="00CF64CD"/>
    <w:rsid w:val="00CF7418"/>
    <w:rsid w:val="00D00162"/>
    <w:rsid w:val="00D00D1E"/>
    <w:rsid w:val="00D020A3"/>
    <w:rsid w:val="00D04457"/>
    <w:rsid w:val="00D11E1B"/>
    <w:rsid w:val="00D1239D"/>
    <w:rsid w:val="00D133E1"/>
    <w:rsid w:val="00D13D79"/>
    <w:rsid w:val="00D15436"/>
    <w:rsid w:val="00D167CD"/>
    <w:rsid w:val="00D16BE4"/>
    <w:rsid w:val="00D172B1"/>
    <w:rsid w:val="00D1747D"/>
    <w:rsid w:val="00D17AEE"/>
    <w:rsid w:val="00D215F3"/>
    <w:rsid w:val="00D21ACA"/>
    <w:rsid w:val="00D2280D"/>
    <w:rsid w:val="00D228B6"/>
    <w:rsid w:val="00D23B62"/>
    <w:rsid w:val="00D247BC"/>
    <w:rsid w:val="00D25789"/>
    <w:rsid w:val="00D25C19"/>
    <w:rsid w:val="00D25DA8"/>
    <w:rsid w:val="00D27C94"/>
    <w:rsid w:val="00D31B8D"/>
    <w:rsid w:val="00D331C7"/>
    <w:rsid w:val="00D35936"/>
    <w:rsid w:val="00D42246"/>
    <w:rsid w:val="00D423BD"/>
    <w:rsid w:val="00D47D34"/>
    <w:rsid w:val="00D51BC5"/>
    <w:rsid w:val="00D520F6"/>
    <w:rsid w:val="00D537B2"/>
    <w:rsid w:val="00D54A0C"/>
    <w:rsid w:val="00D54A27"/>
    <w:rsid w:val="00D63587"/>
    <w:rsid w:val="00D6629D"/>
    <w:rsid w:val="00D66EA6"/>
    <w:rsid w:val="00D72596"/>
    <w:rsid w:val="00D72EF3"/>
    <w:rsid w:val="00D73170"/>
    <w:rsid w:val="00D732F5"/>
    <w:rsid w:val="00D736CB"/>
    <w:rsid w:val="00D75A28"/>
    <w:rsid w:val="00D76C10"/>
    <w:rsid w:val="00D81B31"/>
    <w:rsid w:val="00D86E3E"/>
    <w:rsid w:val="00D87A40"/>
    <w:rsid w:val="00D91306"/>
    <w:rsid w:val="00D92682"/>
    <w:rsid w:val="00D92E1E"/>
    <w:rsid w:val="00DA0AFF"/>
    <w:rsid w:val="00DA3322"/>
    <w:rsid w:val="00DB2CA0"/>
    <w:rsid w:val="00DB67A2"/>
    <w:rsid w:val="00DB75C0"/>
    <w:rsid w:val="00DB7B0B"/>
    <w:rsid w:val="00DC1B81"/>
    <w:rsid w:val="00DC1C4A"/>
    <w:rsid w:val="00DC251A"/>
    <w:rsid w:val="00DC551D"/>
    <w:rsid w:val="00DD0A80"/>
    <w:rsid w:val="00DD3627"/>
    <w:rsid w:val="00DD4152"/>
    <w:rsid w:val="00DD425C"/>
    <w:rsid w:val="00DD45D0"/>
    <w:rsid w:val="00DD7E01"/>
    <w:rsid w:val="00DD7E28"/>
    <w:rsid w:val="00DE0690"/>
    <w:rsid w:val="00DE164E"/>
    <w:rsid w:val="00DE43ED"/>
    <w:rsid w:val="00DE4AEE"/>
    <w:rsid w:val="00DE4FA1"/>
    <w:rsid w:val="00DF00FC"/>
    <w:rsid w:val="00DF1BC7"/>
    <w:rsid w:val="00DF252F"/>
    <w:rsid w:val="00DF27B4"/>
    <w:rsid w:val="00DF3478"/>
    <w:rsid w:val="00DF3898"/>
    <w:rsid w:val="00DF49CC"/>
    <w:rsid w:val="00DF7A65"/>
    <w:rsid w:val="00E00D95"/>
    <w:rsid w:val="00E02413"/>
    <w:rsid w:val="00E04BC1"/>
    <w:rsid w:val="00E0601B"/>
    <w:rsid w:val="00E06581"/>
    <w:rsid w:val="00E10143"/>
    <w:rsid w:val="00E1695E"/>
    <w:rsid w:val="00E225FC"/>
    <w:rsid w:val="00E22B80"/>
    <w:rsid w:val="00E2793C"/>
    <w:rsid w:val="00E30A05"/>
    <w:rsid w:val="00E314EC"/>
    <w:rsid w:val="00E322A1"/>
    <w:rsid w:val="00E34750"/>
    <w:rsid w:val="00E4265A"/>
    <w:rsid w:val="00E445F6"/>
    <w:rsid w:val="00E53B7B"/>
    <w:rsid w:val="00E53C35"/>
    <w:rsid w:val="00E56636"/>
    <w:rsid w:val="00E57FE1"/>
    <w:rsid w:val="00E61E15"/>
    <w:rsid w:val="00E625DB"/>
    <w:rsid w:val="00E62A2B"/>
    <w:rsid w:val="00E62FD7"/>
    <w:rsid w:val="00E63184"/>
    <w:rsid w:val="00E63591"/>
    <w:rsid w:val="00E63A4D"/>
    <w:rsid w:val="00E64B60"/>
    <w:rsid w:val="00E650FD"/>
    <w:rsid w:val="00E65552"/>
    <w:rsid w:val="00E67318"/>
    <w:rsid w:val="00E731CF"/>
    <w:rsid w:val="00E7664D"/>
    <w:rsid w:val="00E76ABA"/>
    <w:rsid w:val="00E81C0C"/>
    <w:rsid w:val="00E84ECB"/>
    <w:rsid w:val="00E86AE3"/>
    <w:rsid w:val="00E928F6"/>
    <w:rsid w:val="00E96493"/>
    <w:rsid w:val="00EA0FF6"/>
    <w:rsid w:val="00EA2308"/>
    <w:rsid w:val="00EA32B0"/>
    <w:rsid w:val="00EA3EA7"/>
    <w:rsid w:val="00EA79B9"/>
    <w:rsid w:val="00EB0DA7"/>
    <w:rsid w:val="00EB39DE"/>
    <w:rsid w:val="00EB41AA"/>
    <w:rsid w:val="00EB6363"/>
    <w:rsid w:val="00EB7151"/>
    <w:rsid w:val="00EB7714"/>
    <w:rsid w:val="00EC1EBF"/>
    <w:rsid w:val="00EC3167"/>
    <w:rsid w:val="00ED070B"/>
    <w:rsid w:val="00ED0DFF"/>
    <w:rsid w:val="00ED0F44"/>
    <w:rsid w:val="00ED221E"/>
    <w:rsid w:val="00ED2C09"/>
    <w:rsid w:val="00ED2F5E"/>
    <w:rsid w:val="00ED4C82"/>
    <w:rsid w:val="00ED6A3D"/>
    <w:rsid w:val="00EE003D"/>
    <w:rsid w:val="00EE3F53"/>
    <w:rsid w:val="00EE496B"/>
    <w:rsid w:val="00EE5F84"/>
    <w:rsid w:val="00EE6025"/>
    <w:rsid w:val="00EE619D"/>
    <w:rsid w:val="00EF475E"/>
    <w:rsid w:val="00EF5136"/>
    <w:rsid w:val="00EF5BFF"/>
    <w:rsid w:val="00F01170"/>
    <w:rsid w:val="00F112F2"/>
    <w:rsid w:val="00F1164E"/>
    <w:rsid w:val="00F16675"/>
    <w:rsid w:val="00F16F7A"/>
    <w:rsid w:val="00F171BA"/>
    <w:rsid w:val="00F17585"/>
    <w:rsid w:val="00F1758B"/>
    <w:rsid w:val="00F17B5B"/>
    <w:rsid w:val="00F213DB"/>
    <w:rsid w:val="00F215F8"/>
    <w:rsid w:val="00F23FC8"/>
    <w:rsid w:val="00F24CFD"/>
    <w:rsid w:val="00F30F1A"/>
    <w:rsid w:val="00F31D15"/>
    <w:rsid w:val="00F31D6D"/>
    <w:rsid w:val="00F32ED0"/>
    <w:rsid w:val="00F3458E"/>
    <w:rsid w:val="00F352C4"/>
    <w:rsid w:val="00F35BA1"/>
    <w:rsid w:val="00F40197"/>
    <w:rsid w:val="00F41423"/>
    <w:rsid w:val="00F45C84"/>
    <w:rsid w:val="00F47FA6"/>
    <w:rsid w:val="00F525BD"/>
    <w:rsid w:val="00F54CBF"/>
    <w:rsid w:val="00F55A19"/>
    <w:rsid w:val="00F56455"/>
    <w:rsid w:val="00F6703A"/>
    <w:rsid w:val="00F70C2C"/>
    <w:rsid w:val="00F71BA3"/>
    <w:rsid w:val="00F74254"/>
    <w:rsid w:val="00F829EB"/>
    <w:rsid w:val="00F85741"/>
    <w:rsid w:val="00F877D3"/>
    <w:rsid w:val="00F913BE"/>
    <w:rsid w:val="00F9186A"/>
    <w:rsid w:val="00F918B2"/>
    <w:rsid w:val="00FA1010"/>
    <w:rsid w:val="00FA3696"/>
    <w:rsid w:val="00FA37B3"/>
    <w:rsid w:val="00FA4A5D"/>
    <w:rsid w:val="00FA5C0F"/>
    <w:rsid w:val="00FA7FE2"/>
    <w:rsid w:val="00FB290A"/>
    <w:rsid w:val="00FB447B"/>
    <w:rsid w:val="00FB5C94"/>
    <w:rsid w:val="00FB6A8D"/>
    <w:rsid w:val="00FB7273"/>
    <w:rsid w:val="00FC3377"/>
    <w:rsid w:val="00FC3592"/>
    <w:rsid w:val="00FC4354"/>
    <w:rsid w:val="00FC56C2"/>
    <w:rsid w:val="00FC5D70"/>
    <w:rsid w:val="00FC647A"/>
    <w:rsid w:val="00FD01CE"/>
    <w:rsid w:val="00FD0AF9"/>
    <w:rsid w:val="00FD1640"/>
    <w:rsid w:val="00FD3BB9"/>
    <w:rsid w:val="00FD3D79"/>
    <w:rsid w:val="00FE06A2"/>
    <w:rsid w:val="00FE4921"/>
    <w:rsid w:val="00FE4DB1"/>
    <w:rsid w:val="00FE4DB7"/>
    <w:rsid w:val="00FE6268"/>
    <w:rsid w:val="00FF21CF"/>
    <w:rsid w:val="00FF24B8"/>
    <w:rsid w:val="00FF265B"/>
    <w:rsid w:val="00FF2C92"/>
    <w:rsid w:val="00FF514B"/>
    <w:rsid w:val="00FF6E16"/>
    <w:rsid w:val="06C75C3F"/>
    <w:rsid w:val="1B752693"/>
    <w:rsid w:val="2174659A"/>
    <w:rsid w:val="2FBC3DC1"/>
    <w:rsid w:val="3F972BAC"/>
    <w:rsid w:val="670C1AE8"/>
    <w:rsid w:val="675235F1"/>
    <w:rsid w:val="71882AC9"/>
    <w:rsid w:val="79C354DA"/>
    <w:rsid w:val="7C971E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 w:val="21"/>
      <w:szCs w:val="21"/>
    </w:rPr>
  </w:style>
  <w:style w:type="paragraph" w:styleId="3">
    <w:name w:val="Balloon Text"/>
    <w:basedOn w:val="1"/>
    <w:link w:val="10"/>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customStyle="1" w:styleId="9">
    <w:name w:val="页脚 Char"/>
    <w:link w:val="4"/>
    <w:qFormat/>
    <w:locked/>
    <w:uiPriority w:val="99"/>
    <w:rPr>
      <w:rFonts w:ascii="Times New Roman" w:hAnsi="Times New Roman" w:eastAsia="仿宋_GB2312" w:cs="Times New Roman"/>
      <w:sz w:val="18"/>
      <w:szCs w:val="18"/>
    </w:rPr>
  </w:style>
  <w:style w:type="character" w:customStyle="1" w:styleId="10">
    <w:name w:val="批注框文本 Char"/>
    <w:link w:val="3"/>
    <w:semiHidden/>
    <w:qFormat/>
    <w:locked/>
    <w:uiPriority w:val="99"/>
    <w:rPr>
      <w:rFonts w:ascii="Times New Roman" w:hAnsi="Times New Roman" w:eastAsia="仿宋_GB2312" w:cs="Times New Roman"/>
      <w:sz w:val="18"/>
      <w:szCs w:val="18"/>
    </w:rPr>
  </w:style>
  <w:style w:type="character" w:customStyle="1" w:styleId="11">
    <w:name w:val="页眉 Char"/>
    <w:link w:val="5"/>
    <w:qFormat/>
    <w:locked/>
    <w:uiPriority w:val="99"/>
    <w:rPr>
      <w:rFonts w:ascii="Times New Roman" w:hAnsi="Times New Roman" w:eastAsia="仿宋_GB2312" w:cs="Times New Roman"/>
      <w:sz w:val="18"/>
      <w:szCs w:val="18"/>
    </w:rPr>
  </w:style>
  <w:style w:type="paragraph" w:styleId="12">
    <w:name w:val="List Paragraph"/>
    <w:basedOn w:val="1"/>
    <w:qFormat/>
    <w:uiPriority w:val="99"/>
    <w:pPr>
      <w:ind w:firstLine="420" w:firstLineChars="200"/>
    </w:pPr>
  </w:style>
  <w:style w:type="character" w:customStyle="1" w:styleId="13">
    <w:name w:val="纯文本 Char"/>
    <w:basedOn w:val="7"/>
    <w:link w:val="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C18F9-9BAF-4EBD-93BB-AE399D35BC5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649</Words>
  <Characters>3704</Characters>
  <Lines>30</Lines>
  <Paragraphs>8</Paragraphs>
  <TotalTime>0</TotalTime>
  <ScaleCrop>false</ScaleCrop>
  <LinksUpToDate>false</LinksUpToDate>
  <CharactersWithSpaces>4345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2021-02-21T08:50:00Z</dcterms:created>
  <dc:creator>Wuweihong</dc:creator>
  <cp:lastModifiedBy>hu</cp:lastModifiedBy>
  <cp:lastPrinted>2022-02-27T06:43:00Z</cp:lastPrinted>
  <dcterms:modified xsi:type="dcterms:W3CDTF">2025-02-27T09:20:37Z</dcterms:modified>
  <cp:revision>1238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1A176EE7EB904D77850462C2CF1F845D</vt:lpwstr>
  </property>
</Properties>
</file>