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00" w:lineRule="exact"/>
        <w:ind w:left="0" w:right="0"/>
        <w:jc w:val="center"/>
        <w:rPr>
          <w:rFonts w:hint="eastAsia" w:ascii="小标宋" w:hAnsi="小标宋" w:eastAsia="小标宋" w:cs="小标宋"/>
          <w:kern w:val="2"/>
          <w:sz w:val="44"/>
          <w:szCs w:val="44"/>
          <w:lang w:val="en-US" w:eastAsia="zh-CN" w:bidi="ar"/>
        </w:rPr>
      </w:pPr>
      <w:r>
        <w:rPr>
          <w:rFonts w:hint="eastAsia" w:ascii="小标宋" w:hAnsi="小标宋" w:eastAsia="小标宋" w:cs="小标宋"/>
          <w:kern w:val="2"/>
          <w:sz w:val="44"/>
          <w:szCs w:val="44"/>
          <w:lang w:val="en-US" w:eastAsia="zh-CN" w:bidi="ar"/>
        </w:rPr>
        <w:t>广西壮族自治区地质物资总站</w:t>
      </w:r>
    </w:p>
    <w:p>
      <w:pPr>
        <w:keepNext w:val="0"/>
        <w:keepLines w:val="0"/>
        <w:widowControl w:val="0"/>
        <w:suppressLineNumbers w:val="0"/>
        <w:spacing w:before="0" w:beforeAutospacing="0" w:after="0" w:afterAutospacing="0" w:line="500" w:lineRule="exact"/>
        <w:ind w:left="0" w:right="0"/>
        <w:jc w:val="center"/>
        <w:rPr>
          <w:rFonts w:eastAsia="小标宋"/>
          <w:sz w:val="44"/>
          <w:szCs w:val="44"/>
          <w:lang w:val="en-US"/>
        </w:rPr>
      </w:pPr>
      <w:r>
        <w:rPr>
          <w:rFonts w:hint="eastAsia" w:ascii="小标宋" w:hAnsi="小标宋" w:eastAsia="小标宋" w:cs="小标宋"/>
          <w:kern w:val="2"/>
          <w:sz w:val="44"/>
          <w:szCs w:val="44"/>
          <w:lang w:val="en-US" w:eastAsia="zh-CN" w:bidi="ar"/>
        </w:rPr>
        <w:t>2025年单位预算公开说明</w:t>
      </w:r>
    </w:p>
    <w:p>
      <w:pPr>
        <w:keepNext w:val="0"/>
        <w:keepLines w:val="0"/>
        <w:widowControl w:val="0"/>
        <w:suppressLineNumbers w:val="0"/>
        <w:spacing w:before="0" w:beforeAutospacing="0" w:after="0" w:afterAutospacing="0" w:line="500" w:lineRule="exact"/>
        <w:ind w:left="0" w:right="0"/>
        <w:jc w:val="both"/>
        <w:rPr>
          <w:rFonts w:eastAsia="仿宋_GB2312"/>
          <w:sz w:val="32"/>
          <w:szCs w:val="32"/>
          <w:lang w:val="en-US"/>
        </w:rPr>
      </w:pPr>
    </w:p>
    <w:p>
      <w:pPr>
        <w:keepNext w:val="0"/>
        <w:keepLines w:val="0"/>
        <w:widowControl w:val="0"/>
        <w:suppressLineNumbers w:val="0"/>
        <w:spacing w:before="0" w:beforeAutospacing="0" w:after="0" w:afterAutospacing="0" w:line="500" w:lineRule="exact"/>
        <w:ind w:left="0" w:right="0" w:firstLine="645"/>
        <w:jc w:val="center"/>
        <w:rPr>
          <w:rFonts w:eastAsia="黑体"/>
          <w:b/>
          <w:bCs w:val="0"/>
          <w:sz w:val="32"/>
          <w:szCs w:val="32"/>
          <w:lang w:val="en-US"/>
        </w:rPr>
      </w:pPr>
      <w:r>
        <w:rPr>
          <w:rFonts w:hint="eastAsia" w:ascii="Times New Roman" w:hAnsi="Times New Roman" w:eastAsia="黑体" w:cs="黑体"/>
          <w:b/>
          <w:bCs w:val="0"/>
          <w:kern w:val="2"/>
          <w:sz w:val="32"/>
          <w:szCs w:val="32"/>
          <w:lang w:val="en-US" w:eastAsia="zh-CN" w:bidi="ar"/>
        </w:rPr>
        <w:t>目</w:t>
      </w:r>
      <w:r>
        <w:rPr>
          <w:rFonts w:hint="default" w:ascii="Times New Roman" w:hAnsi="Times New Roman" w:eastAsia="黑体" w:cs="Times New Roman"/>
          <w:b/>
          <w:bCs w:val="0"/>
          <w:kern w:val="2"/>
          <w:sz w:val="32"/>
          <w:szCs w:val="32"/>
          <w:lang w:val="en-US" w:eastAsia="zh-CN" w:bidi="ar"/>
        </w:rPr>
        <w:t xml:space="preserve">  </w:t>
      </w:r>
      <w:r>
        <w:rPr>
          <w:rFonts w:hint="eastAsia" w:ascii="Times New Roman" w:hAnsi="Times New Roman" w:eastAsia="黑体" w:cs="黑体"/>
          <w:b/>
          <w:bCs w:val="0"/>
          <w:kern w:val="2"/>
          <w:sz w:val="32"/>
          <w:szCs w:val="32"/>
          <w:lang w:val="en-US" w:eastAsia="zh-CN" w:bidi="ar"/>
        </w:rPr>
        <w:t>录</w:t>
      </w:r>
    </w:p>
    <w:p>
      <w:pPr>
        <w:keepNext w:val="0"/>
        <w:keepLines w:val="0"/>
        <w:widowControl w:val="0"/>
        <w:suppressLineNumbers w:val="0"/>
        <w:spacing w:before="0" w:beforeAutospacing="0" w:after="0" w:afterAutospacing="0" w:line="500" w:lineRule="exact"/>
        <w:ind w:left="0" w:right="0" w:firstLine="645"/>
        <w:jc w:val="both"/>
        <w:rPr>
          <w:rFonts w:eastAsia="仿宋_GB2312"/>
          <w:b/>
          <w:bCs w:val="0"/>
          <w:sz w:val="32"/>
          <w:szCs w:val="32"/>
          <w:lang w:val="en-US"/>
        </w:rPr>
      </w:pPr>
    </w:p>
    <w:p>
      <w:pPr>
        <w:keepNext w:val="0"/>
        <w:keepLines w:val="0"/>
        <w:widowControl w:val="0"/>
        <w:suppressLineNumbers w:val="0"/>
        <w:spacing w:before="0" w:beforeAutospacing="0" w:after="0" w:afterAutospacing="0" w:line="500" w:lineRule="exact"/>
        <w:ind w:left="0" w:right="0" w:firstLine="645"/>
        <w:jc w:val="both"/>
        <w:rPr>
          <w:rFonts w:eastAsia="黑体"/>
          <w:b/>
          <w:bCs w:val="0"/>
          <w:sz w:val="32"/>
          <w:szCs w:val="32"/>
          <w:lang w:val="en-US"/>
        </w:rPr>
      </w:pPr>
      <w:r>
        <w:rPr>
          <w:rFonts w:hint="eastAsia" w:ascii="Times New Roman" w:hAnsi="Times New Roman" w:eastAsia="黑体" w:cs="黑体"/>
          <w:b/>
          <w:bCs w:val="0"/>
          <w:kern w:val="2"/>
          <w:sz w:val="32"/>
          <w:szCs w:val="32"/>
          <w:lang w:val="en-US" w:eastAsia="zh-CN" w:bidi="ar"/>
        </w:rPr>
        <w:t>第一部分：</w:t>
      </w:r>
      <w:r>
        <w:rPr>
          <w:rFonts w:hint="eastAsia" w:ascii="Times New Roman" w:hAnsi="Times New Roman" w:eastAsia="黑体" w:cs="黑体"/>
          <w:b/>
          <w:bCs/>
          <w:color w:val="000000"/>
          <w:kern w:val="2"/>
          <w:sz w:val="32"/>
          <w:szCs w:val="32"/>
          <w:lang w:val="en-US" w:eastAsia="zh-CN" w:bidi="ar"/>
        </w:rPr>
        <w:t>单位</w:t>
      </w:r>
      <w:r>
        <w:rPr>
          <w:rFonts w:hint="eastAsia" w:ascii="Times New Roman" w:hAnsi="Times New Roman" w:eastAsia="黑体" w:cs="黑体"/>
          <w:b/>
          <w:bCs w:val="0"/>
          <w:kern w:val="2"/>
          <w:sz w:val="32"/>
          <w:szCs w:val="32"/>
          <w:lang w:val="en-US" w:eastAsia="zh-CN" w:bidi="ar"/>
        </w:rPr>
        <w:t>概况</w:t>
      </w:r>
    </w:p>
    <w:p>
      <w:pPr>
        <w:keepNext w:val="0"/>
        <w:keepLines w:val="0"/>
        <w:widowControl w:val="0"/>
        <w:suppressLineNumbers w:val="0"/>
        <w:spacing w:before="0" w:beforeAutospacing="0" w:after="0" w:afterAutospacing="0" w:line="500" w:lineRule="exact"/>
        <w:ind w:left="0" w:right="0" w:firstLine="645"/>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一、主要职责</w:t>
      </w:r>
    </w:p>
    <w:p>
      <w:pPr>
        <w:keepNext w:val="0"/>
        <w:keepLines w:val="0"/>
        <w:widowControl w:val="0"/>
        <w:suppressLineNumbers w:val="0"/>
        <w:spacing w:before="0" w:beforeAutospacing="0" w:after="0" w:afterAutospacing="0" w:line="500" w:lineRule="exact"/>
        <w:ind w:left="0" w:right="0" w:firstLine="645"/>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二、机构设置情况</w:t>
      </w:r>
    </w:p>
    <w:p>
      <w:pPr>
        <w:keepNext w:val="0"/>
        <w:keepLines w:val="0"/>
        <w:widowControl w:val="0"/>
        <w:suppressLineNumbers w:val="0"/>
        <w:tabs>
          <w:tab w:val="center" w:pos="4475"/>
        </w:tabs>
        <w:spacing w:before="0" w:beforeAutospacing="0" w:after="0" w:afterAutospacing="0" w:line="500" w:lineRule="exact"/>
        <w:ind w:left="640" w:leftChars="305" w:right="0"/>
        <w:jc w:val="both"/>
        <w:rPr>
          <w:rFonts w:eastAsia="黑体"/>
          <w:b/>
          <w:bCs w:val="0"/>
          <w:sz w:val="32"/>
          <w:szCs w:val="32"/>
          <w:lang w:val="en-US"/>
        </w:rPr>
      </w:pPr>
      <w:r>
        <w:rPr>
          <w:rFonts w:hint="eastAsia" w:ascii="Times New Roman" w:hAnsi="Times New Roman" w:eastAsia="黑体" w:cs="黑体"/>
          <w:b/>
          <w:bCs w:val="0"/>
          <w:kern w:val="2"/>
          <w:sz w:val="32"/>
          <w:szCs w:val="32"/>
          <w:lang w:val="en-US" w:eastAsia="zh-CN" w:bidi="ar"/>
        </w:rPr>
        <w:t>第二部分：</w:t>
      </w:r>
      <w:r>
        <w:rPr>
          <w:rFonts w:hint="eastAsia" w:ascii="Times New Roman" w:hAnsi="Times New Roman" w:eastAsia="黑体" w:cs="黑体"/>
          <w:b/>
          <w:bCs/>
          <w:color w:val="000000"/>
          <w:kern w:val="2"/>
          <w:sz w:val="32"/>
          <w:szCs w:val="32"/>
          <w:lang w:val="en-US" w:eastAsia="zh-CN" w:bidi="ar"/>
        </w:rPr>
        <w:t>广西壮族自治区地质物资总站</w:t>
      </w:r>
      <w:r>
        <w:rPr>
          <w:rFonts w:hint="default" w:ascii="Times New Roman" w:hAnsi="Times New Roman" w:eastAsia="黑体" w:cs="Times New Roman"/>
          <w:b/>
          <w:bCs w:val="0"/>
          <w:kern w:val="2"/>
          <w:sz w:val="32"/>
          <w:szCs w:val="32"/>
          <w:lang w:val="en-US" w:eastAsia="zh-CN" w:bidi="ar"/>
        </w:rPr>
        <w:t>2025</w:t>
      </w:r>
      <w:r>
        <w:rPr>
          <w:rFonts w:hint="eastAsia" w:ascii="Times New Roman" w:hAnsi="Times New Roman" w:eastAsia="黑体" w:cs="黑体"/>
          <w:b/>
          <w:bCs w:val="0"/>
          <w:kern w:val="2"/>
          <w:sz w:val="32"/>
          <w:szCs w:val="32"/>
          <w:lang w:val="en-US" w:eastAsia="zh-CN" w:bidi="ar"/>
        </w:rPr>
        <w:t>年单位预算情况说明</w:t>
      </w:r>
    </w:p>
    <w:p>
      <w:pPr>
        <w:keepNext w:val="0"/>
        <w:keepLines w:val="0"/>
        <w:widowControl w:val="0"/>
        <w:suppressLineNumbers w:val="0"/>
        <w:autoSpaceDE w:val="0"/>
        <w:autoSpaceDN w:val="0"/>
        <w:adjustRightInd w:val="0"/>
        <w:spacing w:before="0" w:beforeAutospacing="0" w:after="0" w:afterAutospacing="0" w:line="500" w:lineRule="exact"/>
        <w:ind w:left="0" w:right="0" w:firstLine="640" w:firstLineChars="200"/>
        <w:jc w:val="left"/>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一、单位预算收支增减变化情况说明</w:t>
      </w:r>
    </w:p>
    <w:p>
      <w:pPr>
        <w:keepNext w:val="0"/>
        <w:keepLines w:val="0"/>
        <w:widowControl w:val="0"/>
        <w:suppressLineNumbers w:val="0"/>
        <w:autoSpaceDE w:val="0"/>
        <w:autoSpaceDN w:val="0"/>
        <w:adjustRightInd w:val="0"/>
        <w:spacing w:before="0" w:beforeAutospacing="0" w:after="0" w:afterAutospacing="0" w:line="500" w:lineRule="exact"/>
        <w:ind w:left="0" w:right="0" w:firstLine="640" w:firstLineChars="200"/>
        <w:jc w:val="left"/>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二、单位预算收入总体情况说明</w:t>
      </w:r>
    </w:p>
    <w:p>
      <w:pPr>
        <w:keepNext w:val="0"/>
        <w:keepLines w:val="0"/>
        <w:widowControl w:val="0"/>
        <w:suppressLineNumbers w:val="0"/>
        <w:tabs>
          <w:tab w:val="center" w:pos="4475"/>
        </w:tabs>
        <w:spacing w:before="0" w:beforeAutospacing="0" w:after="0" w:afterAutospacing="0" w:line="500" w:lineRule="exact"/>
        <w:ind w:left="1278" w:leftChars="304" w:right="0" w:hanging="640" w:hangingChars="200"/>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三、单位预算支出总体情况说明</w:t>
      </w:r>
    </w:p>
    <w:p>
      <w:pPr>
        <w:keepNext w:val="0"/>
        <w:keepLines w:val="0"/>
        <w:widowControl w:val="0"/>
        <w:suppressLineNumbers w:val="0"/>
        <w:tabs>
          <w:tab w:val="center" w:pos="4475"/>
        </w:tabs>
        <w:spacing w:before="0" w:beforeAutospacing="0" w:after="0" w:afterAutospacing="0" w:line="500" w:lineRule="exact"/>
        <w:ind w:left="0" w:right="0" w:firstLine="645"/>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四、政府性基金预算支出情况说明</w:t>
      </w:r>
    </w:p>
    <w:p>
      <w:pPr>
        <w:keepNext w:val="0"/>
        <w:keepLines w:val="0"/>
        <w:widowControl w:val="0"/>
        <w:suppressLineNumbers w:val="0"/>
        <w:tabs>
          <w:tab w:val="center" w:pos="4475"/>
        </w:tabs>
        <w:spacing w:before="0" w:beforeAutospacing="0" w:after="0" w:afterAutospacing="0" w:line="500" w:lineRule="exact"/>
        <w:ind w:left="0" w:right="0" w:firstLine="645"/>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五、国有资本经营预算支出情况说明</w:t>
      </w:r>
    </w:p>
    <w:p>
      <w:pPr>
        <w:keepNext w:val="0"/>
        <w:keepLines w:val="0"/>
        <w:widowControl w:val="0"/>
        <w:suppressLineNumbers w:val="0"/>
        <w:tabs>
          <w:tab w:val="center" w:pos="4475"/>
        </w:tabs>
        <w:spacing w:before="0" w:beforeAutospacing="0" w:after="0" w:afterAutospacing="0" w:line="500" w:lineRule="exact"/>
        <w:ind w:left="0" w:right="0" w:firstLine="645"/>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六、</w:t>
      </w:r>
      <w:r>
        <w:rPr>
          <w:rFonts w:hint="eastAsia" w:ascii="Times New Roman" w:hAnsi="Times New Roman" w:eastAsia="楷体_GB2312" w:cs="楷体_GB2312"/>
          <w:kern w:val="2"/>
          <w:sz w:val="32"/>
          <w:szCs w:val="32"/>
          <w:lang w:val="en-US" w:eastAsia="zh-CN" w:bidi="ar"/>
        </w:rPr>
        <w:t>一般公共预算</w:t>
      </w:r>
      <w:r>
        <w:rPr>
          <w:rFonts w:hint="default" w:ascii="Times New Roman" w:hAnsi="Times New Roman" w:eastAsia="楷体_GB2312" w:cs="Times New Roman"/>
          <w:kern w:val="2"/>
          <w:sz w:val="32"/>
          <w:szCs w:val="32"/>
          <w:lang w:val="en-US" w:eastAsia="zh-CN" w:bidi="ar"/>
        </w:rPr>
        <w:t>“</w:t>
      </w:r>
      <w:r>
        <w:rPr>
          <w:rFonts w:hint="eastAsia" w:ascii="Times New Roman" w:hAnsi="Times New Roman" w:eastAsia="楷体_GB2312" w:cs="楷体_GB2312"/>
          <w:kern w:val="2"/>
          <w:sz w:val="32"/>
          <w:szCs w:val="32"/>
          <w:lang w:val="en-US" w:eastAsia="zh-CN" w:bidi="ar"/>
        </w:rPr>
        <w:t>三公</w:t>
      </w:r>
      <w:r>
        <w:rPr>
          <w:rFonts w:hint="default" w:ascii="Times New Roman" w:hAnsi="Times New Roman" w:eastAsia="楷体_GB2312" w:cs="Times New Roman"/>
          <w:kern w:val="2"/>
          <w:sz w:val="32"/>
          <w:szCs w:val="32"/>
          <w:lang w:val="en-US" w:eastAsia="zh-CN" w:bidi="ar"/>
        </w:rPr>
        <w:t>”</w:t>
      </w:r>
      <w:r>
        <w:rPr>
          <w:rFonts w:hint="eastAsia" w:ascii="Times New Roman" w:hAnsi="Times New Roman" w:eastAsia="楷体_GB2312" w:cs="楷体_GB2312"/>
          <w:kern w:val="2"/>
          <w:sz w:val="32"/>
          <w:szCs w:val="32"/>
          <w:lang w:val="en-US" w:eastAsia="zh-CN" w:bidi="ar"/>
        </w:rPr>
        <w:t>经费支出情况</w:t>
      </w:r>
      <w:r>
        <w:rPr>
          <w:rFonts w:hint="eastAsia" w:ascii="Times New Roman" w:hAnsi="Times New Roman" w:eastAsia="楷体_GB2312" w:cs="楷体_GB2312"/>
          <w:kern w:val="0"/>
          <w:sz w:val="32"/>
          <w:szCs w:val="32"/>
          <w:lang w:val="en-US" w:eastAsia="zh-CN" w:bidi="ar"/>
        </w:rPr>
        <w:t>说明</w:t>
      </w:r>
    </w:p>
    <w:p>
      <w:pPr>
        <w:keepNext w:val="0"/>
        <w:keepLines w:val="0"/>
        <w:widowControl w:val="0"/>
        <w:suppressLineNumbers w:val="0"/>
        <w:tabs>
          <w:tab w:val="center" w:pos="4475"/>
        </w:tabs>
        <w:spacing w:before="0" w:beforeAutospacing="0" w:after="0" w:afterAutospacing="0" w:line="500" w:lineRule="exact"/>
        <w:ind w:left="1278" w:leftChars="304" w:right="0" w:hanging="640" w:hangingChars="200"/>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七、事业单位相关运行经费预算安排情况说明</w:t>
      </w:r>
    </w:p>
    <w:p>
      <w:pPr>
        <w:keepNext w:val="0"/>
        <w:keepLines w:val="0"/>
        <w:widowControl w:val="0"/>
        <w:suppressLineNumbers w:val="0"/>
        <w:tabs>
          <w:tab w:val="center" w:pos="4475"/>
        </w:tabs>
        <w:spacing w:before="0" w:beforeAutospacing="0" w:after="0" w:afterAutospacing="0" w:line="500" w:lineRule="exact"/>
        <w:ind w:left="1278" w:leftChars="304" w:right="0" w:hanging="640" w:hangingChars="200"/>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八、政府采购预算安排情况说明</w:t>
      </w:r>
    </w:p>
    <w:p>
      <w:pPr>
        <w:keepNext w:val="0"/>
        <w:keepLines w:val="0"/>
        <w:widowControl w:val="0"/>
        <w:suppressLineNumbers w:val="0"/>
        <w:spacing w:before="0" w:beforeAutospacing="0" w:after="0" w:afterAutospacing="0" w:line="500" w:lineRule="exact"/>
        <w:ind w:left="0" w:right="0" w:firstLine="645"/>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九、国有资产占用情况说明</w:t>
      </w:r>
    </w:p>
    <w:p>
      <w:pPr>
        <w:keepNext w:val="0"/>
        <w:keepLines w:val="0"/>
        <w:widowControl w:val="0"/>
        <w:suppressLineNumbers w:val="0"/>
        <w:spacing w:before="0" w:beforeAutospacing="0" w:after="0" w:afterAutospacing="0" w:line="500" w:lineRule="exact"/>
        <w:ind w:left="0" w:right="0" w:firstLine="645"/>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十、预算绩效目标情况说明</w:t>
      </w:r>
    </w:p>
    <w:p>
      <w:pPr>
        <w:keepNext w:val="0"/>
        <w:keepLines w:val="0"/>
        <w:widowControl w:val="0"/>
        <w:suppressLineNumbers w:val="0"/>
        <w:spacing w:before="0" w:beforeAutospacing="0" w:after="0" w:afterAutospacing="0" w:line="500" w:lineRule="exact"/>
        <w:ind w:left="0" w:right="0" w:firstLine="645"/>
        <w:jc w:val="both"/>
        <w:rPr>
          <w:rFonts w:eastAsia="黑体"/>
          <w:b/>
          <w:bCs w:val="0"/>
          <w:sz w:val="32"/>
          <w:szCs w:val="32"/>
          <w:lang w:val="en-US"/>
        </w:rPr>
      </w:pPr>
      <w:r>
        <w:rPr>
          <w:rFonts w:hint="eastAsia" w:ascii="Times New Roman" w:hAnsi="Times New Roman" w:eastAsia="黑体" w:cs="黑体"/>
          <w:b/>
          <w:bCs w:val="0"/>
          <w:kern w:val="2"/>
          <w:sz w:val="32"/>
          <w:szCs w:val="32"/>
          <w:lang w:val="en-US" w:eastAsia="zh-CN" w:bidi="ar"/>
        </w:rPr>
        <w:t>第三部分：名词解释</w:t>
      </w:r>
    </w:p>
    <w:p>
      <w:pPr>
        <w:keepNext w:val="0"/>
        <w:keepLines w:val="0"/>
        <w:widowControl w:val="0"/>
        <w:suppressLineNumbers w:val="0"/>
        <w:tabs>
          <w:tab w:val="center" w:pos="4475"/>
        </w:tabs>
        <w:spacing w:before="0" w:beforeAutospacing="0" w:after="0" w:afterAutospacing="0" w:line="500" w:lineRule="exact"/>
        <w:ind w:left="640" w:leftChars="305" w:right="0"/>
        <w:jc w:val="both"/>
        <w:rPr>
          <w:rFonts w:eastAsia="黑体"/>
          <w:b/>
          <w:bCs w:val="0"/>
          <w:sz w:val="32"/>
          <w:szCs w:val="32"/>
          <w:lang w:val="en-US"/>
        </w:rPr>
      </w:pPr>
      <w:r>
        <w:rPr>
          <w:rFonts w:hint="eastAsia" w:ascii="Times New Roman" w:hAnsi="Times New Roman" w:eastAsia="黑体" w:cs="黑体"/>
          <w:b/>
          <w:bCs w:val="0"/>
          <w:kern w:val="2"/>
          <w:sz w:val="32"/>
          <w:szCs w:val="32"/>
          <w:lang w:val="en-US" w:eastAsia="zh-CN" w:bidi="ar"/>
        </w:rPr>
        <w:t>第四部分：</w:t>
      </w:r>
      <w:r>
        <w:rPr>
          <w:rFonts w:hint="eastAsia" w:ascii="Times New Roman" w:hAnsi="Times New Roman" w:eastAsia="黑体" w:cs="黑体"/>
          <w:b/>
          <w:bCs/>
          <w:color w:val="000000"/>
          <w:kern w:val="2"/>
          <w:sz w:val="32"/>
          <w:szCs w:val="32"/>
          <w:lang w:val="en-US" w:eastAsia="zh-CN" w:bidi="ar"/>
        </w:rPr>
        <w:t>广西壮族自治区地质物资总站</w:t>
      </w:r>
      <w:r>
        <w:rPr>
          <w:rFonts w:hint="default" w:ascii="Times New Roman" w:hAnsi="Times New Roman" w:eastAsia="黑体" w:cs="Times New Roman"/>
          <w:b/>
          <w:bCs w:val="0"/>
          <w:kern w:val="2"/>
          <w:sz w:val="32"/>
          <w:szCs w:val="32"/>
          <w:lang w:val="en-US" w:eastAsia="zh-CN" w:bidi="ar"/>
        </w:rPr>
        <w:t>2025</w:t>
      </w:r>
      <w:r>
        <w:rPr>
          <w:rFonts w:hint="eastAsia" w:ascii="Times New Roman" w:hAnsi="Times New Roman" w:eastAsia="黑体" w:cs="黑体"/>
          <w:b/>
          <w:bCs w:val="0"/>
          <w:kern w:val="2"/>
          <w:sz w:val="32"/>
          <w:szCs w:val="32"/>
          <w:lang w:val="en-US" w:eastAsia="zh-CN" w:bidi="ar"/>
        </w:rPr>
        <w:t>年单位预算报表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表一：单位收支总体情况表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表二：单位收入总体情况表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表三：单位支出总体情况表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表四：财政拨款</w:t>
      </w:r>
      <w:r>
        <w:rPr>
          <w:rFonts w:hint="eastAsia" w:ascii="仿宋_GB2312" w:hAnsi="仿宋_GB2312" w:eastAsia="仿宋_GB2312" w:cs="仿宋_GB2312"/>
          <w:kern w:val="2"/>
          <w:sz w:val="32"/>
          <w:szCs w:val="32"/>
          <w:lang w:val="en-US" w:eastAsia="zh-CN" w:bidi="ar"/>
        </w:rPr>
        <w:t>收支</w:t>
      </w:r>
      <w:r>
        <w:rPr>
          <w:rFonts w:hint="eastAsia" w:ascii="Times New Roman" w:hAnsi="Times New Roman" w:eastAsia="楷体_GB2312" w:cs="楷体_GB2312"/>
          <w:kern w:val="2"/>
          <w:sz w:val="32"/>
          <w:szCs w:val="32"/>
          <w:lang w:val="en-US" w:eastAsia="zh-CN" w:bidi="ar"/>
        </w:rPr>
        <w:t>总体情况表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表五：一般公共预算支出情况表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表六：一般公共预算基本支出情况表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表七：财政拨款</w:t>
      </w:r>
      <w:r>
        <w:rPr>
          <w:rFonts w:hint="default" w:ascii="Times New Roman" w:hAnsi="Times New Roman" w:eastAsia="楷体_GB2312" w:cs="Times New Roman"/>
          <w:kern w:val="2"/>
          <w:sz w:val="32"/>
          <w:szCs w:val="32"/>
          <w:lang w:val="en-US" w:eastAsia="zh-CN" w:bidi="ar"/>
        </w:rPr>
        <w:t>“</w:t>
      </w:r>
      <w:r>
        <w:rPr>
          <w:rFonts w:hint="eastAsia" w:ascii="Times New Roman" w:hAnsi="Times New Roman" w:eastAsia="楷体_GB2312" w:cs="楷体_GB2312"/>
          <w:kern w:val="2"/>
          <w:sz w:val="32"/>
          <w:szCs w:val="32"/>
          <w:lang w:val="en-US" w:eastAsia="zh-CN" w:bidi="ar"/>
        </w:rPr>
        <w:t>三公</w:t>
      </w:r>
      <w:r>
        <w:rPr>
          <w:rFonts w:hint="default" w:ascii="Times New Roman" w:hAnsi="Times New Roman" w:eastAsia="楷体_GB2312" w:cs="Times New Roman"/>
          <w:kern w:val="2"/>
          <w:sz w:val="32"/>
          <w:szCs w:val="32"/>
          <w:lang w:val="en-US" w:eastAsia="zh-CN" w:bidi="ar"/>
        </w:rPr>
        <w:t>”</w:t>
      </w:r>
      <w:r>
        <w:rPr>
          <w:rFonts w:hint="eastAsia" w:ascii="Times New Roman" w:hAnsi="Times New Roman" w:eastAsia="楷体_GB2312" w:cs="楷体_GB2312"/>
          <w:kern w:val="2"/>
          <w:sz w:val="32"/>
          <w:szCs w:val="32"/>
          <w:lang w:val="en-US" w:eastAsia="zh-CN" w:bidi="ar"/>
        </w:rPr>
        <w:t>经费、会议费和培训费支出情况表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表八：政府性基金预算支出情况表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表九：国有资本经营预算支出情况表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表十：自治区本级项目绩效目标公开表</w:t>
      </w:r>
    </w:p>
    <w:p>
      <w:pPr>
        <w:keepNext w:val="0"/>
        <w:keepLines w:val="0"/>
        <w:widowControl w:val="0"/>
        <w:suppressLineNumbers w:val="0"/>
        <w:tabs>
          <w:tab w:val="center" w:pos="4475"/>
        </w:tabs>
        <w:spacing w:before="0" w:beforeAutospacing="0" w:after="0" w:afterAutospacing="0" w:line="500" w:lineRule="exact"/>
        <w:ind w:left="1590" w:leftChars="300" w:right="0" w:hanging="960" w:hangingChars="300"/>
        <w:jc w:val="both"/>
        <w:rPr>
          <w:rFonts w:eastAsia="仿宋_GB2312"/>
          <w:sz w:val="32"/>
          <w:szCs w:val="32"/>
          <w:lang w:val="en-US"/>
        </w:rPr>
      </w:pPr>
      <w:r>
        <w:rPr>
          <w:rFonts w:hint="eastAsia" w:ascii="Times New Roman" w:hAnsi="Times New Roman" w:eastAsia="楷体_GB2312" w:cs="楷体_GB2312"/>
          <w:kern w:val="2"/>
          <w:sz w:val="32"/>
          <w:szCs w:val="32"/>
          <w:lang w:val="en-US" w:eastAsia="zh-CN" w:bidi="ar"/>
        </w:rPr>
        <w:t>表十一：对下转移支付项目绩效目标公开表</w:t>
      </w:r>
    </w:p>
    <w:p>
      <w:pPr>
        <w:keepNext w:val="0"/>
        <w:keepLines w:val="0"/>
        <w:widowControl w:val="0"/>
        <w:suppressLineNumbers w:val="0"/>
        <w:spacing w:before="0" w:beforeAutospacing="0" w:after="0" w:afterAutospacing="0" w:line="500" w:lineRule="exact"/>
        <w:ind w:left="0" w:right="0" w:firstLine="645"/>
        <w:jc w:val="center"/>
        <w:rPr>
          <w:rFonts w:eastAsia="黑体"/>
          <w:sz w:val="32"/>
          <w:szCs w:val="32"/>
          <w:lang w:val="en-US"/>
        </w:rPr>
      </w:pPr>
    </w:p>
    <w:p>
      <w:pPr>
        <w:keepNext w:val="0"/>
        <w:keepLines w:val="0"/>
        <w:widowControl w:val="0"/>
        <w:suppressLineNumbers w:val="0"/>
        <w:spacing w:before="0" w:beforeAutospacing="0" w:after="0" w:afterAutospacing="0" w:line="500" w:lineRule="exact"/>
        <w:ind w:left="0" w:right="0" w:firstLine="645"/>
        <w:jc w:val="left"/>
        <w:rPr>
          <w:rFonts w:eastAsia="黑体"/>
          <w:sz w:val="32"/>
          <w:szCs w:val="32"/>
          <w:lang w:val="en-US"/>
        </w:rPr>
      </w:pPr>
      <w:r>
        <w:rPr>
          <w:rFonts w:hint="eastAsia" w:ascii="Times New Roman" w:hAnsi="Times New Roman" w:eastAsia="黑体" w:cs="黑体"/>
          <w:kern w:val="2"/>
          <w:sz w:val="32"/>
          <w:szCs w:val="32"/>
          <w:lang w:val="en-US" w:eastAsia="zh-CN" w:bidi="ar"/>
        </w:rPr>
        <w:t>第一部分：部门概况</w:t>
      </w:r>
    </w:p>
    <w:p>
      <w:pPr>
        <w:keepNext w:val="0"/>
        <w:keepLines w:val="0"/>
        <w:widowControl w:val="0"/>
        <w:suppressLineNumbers w:val="0"/>
        <w:spacing w:before="0" w:beforeAutospacing="0" w:after="0" w:afterAutospacing="0" w:line="500" w:lineRule="exact"/>
        <w:ind w:left="0" w:right="0" w:firstLine="645"/>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一、主要职责</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广西壮族自治区地质物资总站主要是对地质专用物资、仪器设备的储备及管理，包括：</w:t>
      </w:r>
    </w:p>
    <w:p>
      <w:pPr>
        <w:keepNext w:val="0"/>
        <w:keepLines w:val="0"/>
        <w:widowControl w:val="0"/>
        <w:numPr>
          <w:ilvl w:val="0"/>
          <w:numId w:val="1"/>
        </w:numPr>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为全区地质灾害抢险（救灾）、公益性地质勘查、应急找水等提供专用装备和物资的储备与保障；</w:t>
      </w:r>
    </w:p>
    <w:p>
      <w:pPr>
        <w:keepNext w:val="0"/>
        <w:keepLines w:val="0"/>
        <w:widowControl w:val="0"/>
        <w:numPr>
          <w:ilvl w:val="0"/>
          <w:numId w:val="1"/>
        </w:numPr>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组织实施地质勘查仪器设备选型、评价，先进仪器设备引进、推广；</w:t>
      </w:r>
    </w:p>
    <w:p>
      <w:pPr>
        <w:keepNext w:val="0"/>
        <w:keepLines w:val="0"/>
        <w:widowControl w:val="0"/>
        <w:numPr>
          <w:ilvl w:val="0"/>
          <w:numId w:val="1"/>
        </w:numPr>
        <w:suppressLineNumbers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协助局做好地质勘查仪器设备管理，提供技术咨询、维修指导服务。</w:t>
      </w:r>
    </w:p>
    <w:p>
      <w:pPr>
        <w:keepNext w:val="0"/>
        <w:keepLines w:val="0"/>
        <w:widowControl w:val="0"/>
        <w:suppressLineNumbers w:val="0"/>
        <w:spacing w:before="0" w:beforeAutospacing="0" w:after="0" w:afterAutospacing="0" w:line="500" w:lineRule="exact"/>
        <w:ind w:left="0" w:right="0" w:firstLine="645"/>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二、机构设置情况</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广西壮族自治区地质物资总站为公益二类事业单位，内设综合办公室、贸易部、政采部、财务科、工会等部门。</w:t>
      </w:r>
    </w:p>
    <w:p>
      <w:pPr>
        <w:keepNext w:val="0"/>
        <w:keepLines w:val="0"/>
        <w:widowControl w:val="0"/>
        <w:suppressLineNumbers w:val="0"/>
        <w:tabs>
          <w:tab w:val="center" w:pos="4475"/>
        </w:tabs>
        <w:spacing w:before="0" w:beforeAutospacing="0" w:after="0" w:afterAutospacing="0"/>
        <w:ind w:left="0" w:right="0" w:firstLine="800" w:firstLineChars="250"/>
        <w:jc w:val="both"/>
        <w:rPr>
          <w:rFonts w:hint="eastAsia" w:ascii="黑体" w:hAnsi="Times New Roman" w:eastAsia="黑体" w:cs="黑体"/>
          <w:kern w:val="2"/>
          <w:sz w:val="32"/>
          <w:szCs w:val="32"/>
          <w:lang w:val="en-US" w:eastAsia="zh-CN" w:bidi="ar"/>
        </w:rPr>
      </w:pPr>
      <w:r>
        <w:rPr>
          <w:rFonts w:hint="eastAsia" w:ascii="黑体" w:hAnsi="Times New Roman" w:eastAsia="黑体" w:cs="黑体"/>
          <w:kern w:val="2"/>
          <w:sz w:val="32"/>
          <w:szCs w:val="32"/>
          <w:lang w:val="en-US" w:eastAsia="zh-CN" w:bidi="ar"/>
        </w:rPr>
        <w:t>第二部分：</w:t>
      </w:r>
      <w:r>
        <w:rPr>
          <w:rFonts w:hint="eastAsia" w:ascii="黑体" w:hAnsi="宋体" w:eastAsia="黑体" w:cs="黑体"/>
          <w:bCs/>
          <w:color w:val="000000"/>
          <w:kern w:val="2"/>
          <w:sz w:val="32"/>
          <w:szCs w:val="32"/>
          <w:lang w:val="en-US" w:eastAsia="zh-CN" w:bidi="ar"/>
        </w:rPr>
        <w:t>广西壮族自治区地质物资总站</w:t>
      </w:r>
      <w:r>
        <w:rPr>
          <w:rFonts w:hint="eastAsia" w:ascii="黑体" w:hAnsi="Times New Roman" w:eastAsia="黑体" w:cs="黑体"/>
          <w:kern w:val="2"/>
          <w:sz w:val="32"/>
          <w:szCs w:val="32"/>
          <w:lang w:val="en-US" w:eastAsia="zh-CN" w:bidi="ar"/>
        </w:rPr>
        <w:t>2025年单位预算情况说明</w:t>
      </w:r>
    </w:p>
    <w:p>
      <w:pPr>
        <w:keepNext w:val="0"/>
        <w:keepLines w:val="0"/>
        <w:widowControl w:val="0"/>
        <w:suppressLineNumbers w:val="0"/>
        <w:autoSpaceDE w:val="0"/>
        <w:autoSpaceDN w:val="0"/>
        <w:adjustRightInd w:val="0"/>
        <w:spacing w:before="0" w:beforeAutospacing="0" w:after="0" w:afterAutospacing="0" w:line="500" w:lineRule="exact"/>
        <w:ind w:left="0" w:right="0" w:firstLine="640" w:firstLineChars="200"/>
        <w:jc w:val="left"/>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一、单位预算收支增减变化情况说明</w:t>
      </w:r>
    </w:p>
    <w:p>
      <w:pPr>
        <w:keepNext w:val="0"/>
        <w:keepLines w:val="0"/>
        <w:widowControl w:val="0"/>
        <w:suppressLineNumbers w:val="0"/>
        <w:spacing w:before="0" w:beforeAutospacing="0" w:after="0" w:afterAutospacing="0" w:line="500" w:lineRule="exact"/>
        <w:ind w:left="0" w:right="0" w:firstLine="645"/>
        <w:jc w:val="both"/>
        <w:rPr>
          <w:rFonts w:eastAsia="仿宋_GB2312"/>
          <w:sz w:val="32"/>
          <w:szCs w:val="32"/>
          <w:lang w:val="en-US"/>
        </w:rPr>
      </w:pPr>
      <w:r>
        <w:rPr>
          <w:rFonts w:hint="eastAsia" w:ascii="仿宋_GB2312" w:hAnsi="仿宋_GB2312" w:eastAsia="仿宋_GB2312" w:cs="仿宋_GB2312"/>
          <w:kern w:val="2"/>
          <w:sz w:val="32"/>
          <w:szCs w:val="32"/>
          <w:lang w:val="en-US" w:eastAsia="zh-CN" w:bidi="ar"/>
        </w:rPr>
        <w:t>2025年收支总预算686.04万元</w:t>
      </w:r>
      <w:r>
        <w:rPr>
          <w:rFonts w:hint="eastAsia" w:eastAsia="仿宋_GB2312"/>
          <w:sz w:val="32"/>
          <w:szCs w:val="32"/>
          <w:highlight w:val="none"/>
          <w:lang w:eastAsia="zh-CN"/>
        </w:rPr>
        <w:t>（不含财政拨款上年未列支结转收支数）</w:t>
      </w:r>
      <w:bookmarkStart w:id="1" w:name="_GoBack"/>
      <w:bookmarkEnd w:id="1"/>
      <w:r>
        <w:rPr>
          <w:rFonts w:hint="eastAsia" w:ascii="仿宋_GB2312" w:hAnsi="仿宋_GB2312" w:eastAsia="仿宋_GB2312" w:cs="仿宋_GB2312"/>
          <w:kern w:val="2"/>
          <w:sz w:val="32"/>
          <w:szCs w:val="32"/>
          <w:lang w:val="en-US" w:eastAsia="zh-CN" w:bidi="ar"/>
        </w:rPr>
        <w:t>，同比减少45.15万元，下降6.17%。下降的原因主要是：市场低迷单位经营收入减少，导致单位预算收支下降。</w:t>
      </w:r>
    </w:p>
    <w:p>
      <w:pPr>
        <w:keepNext w:val="0"/>
        <w:keepLines w:val="0"/>
        <w:widowControl w:val="0"/>
        <w:suppressLineNumbers w:val="0"/>
        <w:autoSpaceDE w:val="0"/>
        <w:autoSpaceDN w:val="0"/>
        <w:adjustRightInd w:val="0"/>
        <w:spacing w:before="0" w:beforeAutospacing="0" w:after="0" w:afterAutospacing="0" w:line="500" w:lineRule="exact"/>
        <w:ind w:left="0" w:right="0" w:firstLine="640" w:firstLineChars="200"/>
        <w:jc w:val="left"/>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二、部门预算收入总体情况说明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2025年预算总收入686.04万元，同比减少45.15万元，下降6.17%。其中：一般预算拨款55.88万元，同比减少12.29万元，下降18.03%，主要原因是项目支出经费缩减；单位资金收入为630.17万元，同比减少32.85万元，下降4.95%，主要是市场低迷单位经营收入减少，导致单位资金收入下降。</w:t>
      </w:r>
    </w:p>
    <w:p>
      <w:pPr>
        <w:keepNext w:val="0"/>
        <w:keepLines w:val="0"/>
        <w:widowControl w:val="0"/>
        <w:suppressLineNumbers w:val="0"/>
        <w:spacing w:before="0" w:beforeAutospacing="0" w:after="0" w:afterAutospacing="0" w:line="500" w:lineRule="exact"/>
        <w:ind w:left="0" w:right="0" w:firstLine="645"/>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三、部门预算支出总体情况说明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2025年预算总支出686.04万元，同比减少45.15万元，下降6.17%。下降原因主要是：市场低迷单位经营收入减少，导致单位预算支出下降。</w:t>
      </w:r>
    </w:p>
    <w:p>
      <w:pPr>
        <w:keepNext w:val="0"/>
        <w:keepLines w:val="0"/>
        <w:widowControl w:val="0"/>
        <w:suppressLineNumbers w:val="0"/>
        <w:spacing w:before="0" w:beforeAutospacing="0" w:after="0" w:afterAutospacing="0" w:line="500" w:lineRule="exact"/>
        <w:ind w:left="0" w:right="0" w:firstLine="640" w:firstLineChars="200"/>
        <w:jc w:val="both"/>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（一）总支出分类情况说明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按支出功能分类科目划分，共分为四类，其中：</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（1）资源勘探工业信息等支出类科目支出650.72万元，占本年支出预算94.85％，同比减少45.70万元，下降6.56％。</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w:t>
      </w:r>
      <w:r>
        <w:rPr>
          <w:rFonts w:hint="default"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val="en-US" w:eastAsia="zh-CN" w:bidi="ar"/>
        </w:rPr>
        <w:t>）社会保障和就业支出类科目支出23.30万元，占本年支出预算3.40％，同比增加0.30万元，增长1.30％。</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w:t>
      </w:r>
      <w:r>
        <w:rPr>
          <w:rFonts w:hint="default" w:ascii="仿宋_GB2312" w:hAnsi="仿宋_GB2312" w:eastAsia="仿宋_GB2312" w:cs="仿宋_GB2312"/>
          <w:kern w:val="2"/>
          <w:sz w:val="32"/>
          <w:szCs w:val="32"/>
          <w:lang w:val="en-US" w:eastAsia="zh-CN" w:bidi="ar"/>
        </w:rPr>
        <w:t>3</w:t>
      </w:r>
      <w:r>
        <w:rPr>
          <w:rFonts w:hint="eastAsia" w:ascii="仿宋_GB2312" w:hAnsi="仿宋_GB2312" w:eastAsia="仿宋_GB2312" w:cs="仿宋_GB2312"/>
          <w:kern w:val="2"/>
          <w:sz w:val="32"/>
          <w:szCs w:val="32"/>
          <w:lang w:val="en-US" w:eastAsia="zh-CN" w:bidi="ar"/>
        </w:rPr>
        <w:t>）卫生健康支出类科目支出4.58万元，占本年支出预算0.67％，同比增加0.09万元，增长2.00％。</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w:t>
      </w:r>
      <w:r>
        <w:rPr>
          <w:rFonts w:hint="default" w:ascii="仿宋_GB2312" w:hAnsi="仿宋_GB2312" w:eastAsia="仿宋_GB2312" w:cs="仿宋_GB2312"/>
          <w:kern w:val="2"/>
          <w:sz w:val="32"/>
          <w:szCs w:val="32"/>
          <w:lang w:val="en-US" w:eastAsia="zh-CN" w:bidi="ar"/>
        </w:rPr>
        <w:t>4</w:t>
      </w:r>
      <w:r>
        <w:rPr>
          <w:rFonts w:hint="eastAsia" w:ascii="仿宋_GB2312" w:hAnsi="仿宋_GB2312" w:eastAsia="仿宋_GB2312" w:cs="仿宋_GB2312"/>
          <w:kern w:val="2"/>
          <w:sz w:val="32"/>
          <w:szCs w:val="32"/>
          <w:lang w:val="en-US" w:eastAsia="zh-CN" w:bidi="ar"/>
        </w:rPr>
        <w:t>）住房保障支出类科目支出7.43万元，占本年支出预算1.08％，同比增加0.15万元，增长2.06％。</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val="en-US" w:eastAsia="zh-CN" w:bidi="ar"/>
        </w:rPr>
        <w:t>按支出结构分类划分，分为基本支出预算和项目支出预算。</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w:t>
      </w:r>
      <w:r>
        <w:rPr>
          <w:rFonts w:hint="default"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）基本支出预算236.32万元，占本年支出预算34.45％，同比增加2.13万元，增长0.91％。</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w:t>
      </w:r>
      <w:r>
        <w:rPr>
          <w:rFonts w:hint="default" w:ascii="仿宋_GB2312" w:hAnsi="仿宋_GB2312" w:eastAsia="仿宋_GB2312" w:cs="仿宋_GB2312"/>
          <w:kern w:val="2"/>
          <w:sz w:val="32"/>
          <w:szCs w:val="32"/>
          <w:lang w:val="en-US" w:eastAsia="zh-CN" w:bidi="ar"/>
        </w:rPr>
        <w:t>2</w:t>
      </w:r>
      <w:r>
        <w:rPr>
          <w:rFonts w:hint="eastAsia" w:ascii="仿宋_GB2312" w:hAnsi="仿宋_GB2312" w:eastAsia="仿宋_GB2312" w:cs="仿宋_GB2312"/>
          <w:kern w:val="2"/>
          <w:sz w:val="32"/>
          <w:szCs w:val="32"/>
          <w:lang w:val="en-US" w:eastAsia="zh-CN" w:bidi="ar"/>
        </w:rPr>
        <w:t>）项目支出预算449.73万元，占本年支出预算65.55％，同比减少47.27万元，下降9.51％。</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（二）财政拨款收支总体情况说明</w:t>
      </w:r>
    </w:p>
    <w:p>
      <w:pPr>
        <w:keepNext w:val="0"/>
        <w:keepLines w:val="0"/>
        <w:widowControl w:val="0"/>
        <w:suppressLineNumbers w:val="0"/>
        <w:spacing w:before="0" w:beforeAutospacing="0" w:after="0" w:afterAutospacing="0" w:line="500" w:lineRule="exact"/>
        <w:ind w:left="0" w:right="0" w:firstLine="640" w:firstLineChars="200"/>
        <w:jc w:val="both"/>
        <w:rPr>
          <w:rFonts w:hint="eastAsia" w:ascii="Times New Roman" w:hAnsi="Times New Roman" w:eastAsia="仿宋_GB2312" w:cs="仿宋_GB2312"/>
          <w:kern w:val="2"/>
          <w:sz w:val="32"/>
          <w:szCs w:val="32"/>
          <w:lang w:val="en-US" w:eastAsia="zh-CN" w:bidi="ar"/>
        </w:rPr>
      </w:pPr>
      <w:r>
        <w:rPr>
          <w:rFonts w:hint="default" w:ascii="仿宋_GB2312" w:hAnsi="仿宋_GB2312" w:eastAsia="仿宋_GB2312" w:cs="仿宋_GB2312"/>
          <w:kern w:val="2"/>
          <w:sz w:val="32"/>
          <w:szCs w:val="32"/>
          <w:lang w:val="en-US" w:eastAsia="zh-CN" w:bidi="ar"/>
        </w:rPr>
        <w:t>2025</w:t>
      </w:r>
      <w:r>
        <w:rPr>
          <w:rFonts w:hint="eastAsia" w:ascii="仿宋_GB2312" w:hAnsi="仿宋_GB2312" w:eastAsia="仿宋_GB2312" w:cs="仿宋_GB2312"/>
          <w:kern w:val="2"/>
          <w:sz w:val="32"/>
          <w:szCs w:val="32"/>
          <w:lang w:val="en-US" w:eastAsia="zh-CN" w:bidi="ar"/>
        </w:rPr>
        <w:t>年财政拨款收支总预算55.88万元，同比减少12.29万元，下降18.03</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下降原因主要是：项目支出经费缩减。收入全部为一般公共预算拨款，支出包括资源勘探工业信息等支出43.67万元，占本年支出预算6.37％，同比减少12.53万元，下降22.30％；社会保障和就业支出7.74万元，占本年支出预算1.13％，同比增加0.14万元，增长1.84％；卫生健康支出0万元，占本年支出预算0％，同比减少0万元，下降0％；住房保障支出4.46万元，占本年支出预算0.65％，同比增加0.09万元，增长2.06％。</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（三）一般公共预算支出情况说明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2025年一般公共预算拨款支出55.88万元，同比减少12.29万元，下降18.03%。其中，基本支出预算55.88万元，占本年支出预算8.15%，同比增加1.12万元，增长2.05%；项目支出预算0万元，占本年支出预算0%，同比减少13.41万元，下降100%。下降原因主要是：项目经费缩减。具体支出预算如下：</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1.事业单位离退休费0.81万元，全部是基本支出预算。主要用于发放改革前获得荣誉改革后退休人员退休补助。</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2.机关事业单位基本养老保险缴费支出6.94万元，全部是基本支出预算。支付单位在职职工单位养老保险费用。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3.其他资源勘探业支出43.67万元，全部为基本支出预算项。主要用于除煤炭、石油和天然气、黑色金属、有色金属、非金属矿等以外其他用于资源勘探业方面的支出。</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4.住房公积金4.46万元，全部是基本支出预算。主要用于按照国家统一规定，按事业单位在职职工工资总额的规定比例缴纳的住房公积金。</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（四）一般公共预算基本支出情况说明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2025年一般公共预算基本支出55.88万元，占本年支出预算8.15%，同比增加1.12万元，增长2.05%，增长原因主要是：在编在职人员工资正常晋级、岗位工资变动等，因此2025年预算的一般公共预算基本支出较去年略有增长。</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人员经费55.88万元，用于发放人员的基本工资、津贴补贴、奖金、绩效工资、机关事业单位基本养老保险缴费、职业年金缴费、职工基本医疗保险缴费、其他社会保障缴费、住房公积金、离休费、退休费、医疗费补助、其他对个人和家庭的补助等。</w:t>
      </w:r>
    </w:p>
    <w:p>
      <w:pPr>
        <w:keepNext w:val="0"/>
        <w:keepLines w:val="0"/>
        <w:widowControl w:val="0"/>
        <w:suppressLineNumbers w:val="0"/>
        <w:tabs>
          <w:tab w:val="center" w:pos="4475"/>
        </w:tabs>
        <w:spacing w:before="0" w:beforeAutospacing="0" w:after="0" w:afterAutospacing="0" w:line="500" w:lineRule="exact"/>
        <w:ind w:left="1278" w:leftChars="304" w:right="0" w:hanging="640" w:hangingChars="200"/>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四、政府性基金预算支出情况说明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广西壮族自治区地质物资总站</w:t>
      </w:r>
      <w:r>
        <w:rPr>
          <w:rFonts w:hint="default" w:ascii="仿宋_GB2312" w:hAnsi="仿宋_GB2312" w:eastAsia="仿宋_GB2312" w:cs="仿宋_GB2312"/>
          <w:kern w:val="2"/>
          <w:sz w:val="32"/>
          <w:szCs w:val="32"/>
          <w:lang w:val="en-US" w:eastAsia="zh-CN" w:bidi="ar"/>
        </w:rPr>
        <w:t>2025</w:t>
      </w:r>
      <w:r>
        <w:rPr>
          <w:rFonts w:hint="eastAsia" w:ascii="仿宋_GB2312" w:hAnsi="仿宋_GB2312" w:eastAsia="仿宋_GB2312" w:cs="仿宋_GB2312"/>
          <w:kern w:val="2"/>
          <w:sz w:val="32"/>
          <w:szCs w:val="32"/>
          <w:lang w:val="en-US" w:eastAsia="zh-CN" w:bidi="ar"/>
        </w:rPr>
        <w:t>年无政府性基金预算。</w:t>
      </w:r>
    </w:p>
    <w:p>
      <w:pPr>
        <w:keepNext w:val="0"/>
        <w:keepLines w:val="0"/>
        <w:widowControl w:val="0"/>
        <w:suppressLineNumbers w:val="0"/>
        <w:tabs>
          <w:tab w:val="center" w:pos="4475"/>
        </w:tabs>
        <w:spacing w:before="0" w:beforeAutospacing="0" w:after="0" w:afterAutospacing="0" w:line="500" w:lineRule="exact"/>
        <w:ind w:left="0" w:right="0" w:firstLine="645"/>
        <w:jc w:val="both"/>
        <w:rPr>
          <w:rFonts w:eastAsia="楷体_GB2312"/>
          <w:kern w:val="0"/>
          <w:sz w:val="32"/>
          <w:szCs w:val="32"/>
          <w:lang w:val="en-US"/>
        </w:rPr>
      </w:pPr>
      <w:r>
        <w:rPr>
          <w:rFonts w:hint="eastAsia" w:ascii="Times New Roman" w:hAnsi="Times New Roman" w:eastAsia="楷体_GB2312" w:cs="楷体_GB2312"/>
          <w:kern w:val="0"/>
          <w:sz w:val="32"/>
          <w:szCs w:val="32"/>
          <w:lang w:val="en-US" w:eastAsia="zh-CN" w:bidi="ar"/>
        </w:rPr>
        <w:t>五、国有资本经营预算支出情况说明</w:t>
      </w:r>
    </w:p>
    <w:p>
      <w:pPr>
        <w:keepNext w:val="0"/>
        <w:keepLines w:val="0"/>
        <w:widowControl w:val="0"/>
        <w:suppressLineNumbers w:val="0"/>
        <w:spacing w:before="0" w:beforeAutospacing="0" w:after="0" w:afterAutospacing="0" w:line="500" w:lineRule="exact"/>
        <w:ind w:left="0" w:right="0" w:firstLine="640" w:firstLineChars="200"/>
        <w:jc w:val="both"/>
        <w:rPr>
          <w:rFonts w:hint="eastAsia" w:ascii="Times New Roman" w:hAnsi="Times New Roman"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广西壮族自治区地质物资总站</w:t>
      </w:r>
      <w:r>
        <w:rPr>
          <w:rFonts w:hint="default" w:ascii="仿宋_GB2312" w:hAnsi="仿宋_GB2312" w:eastAsia="仿宋_GB2312" w:cs="仿宋_GB2312"/>
          <w:kern w:val="2"/>
          <w:sz w:val="32"/>
          <w:szCs w:val="32"/>
          <w:lang w:val="en-US" w:eastAsia="zh-CN" w:bidi="ar"/>
        </w:rPr>
        <w:t>2025</w:t>
      </w:r>
      <w:r>
        <w:rPr>
          <w:rFonts w:hint="eastAsia" w:ascii="仿宋_GB2312" w:hAnsi="仿宋_GB2312" w:eastAsia="仿宋_GB2312" w:cs="仿宋_GB2312"/>
          <w:kern w:val="2"/>
          <w:sz w:val="32"/>
          <w:szCs w:val="32"/>
          <w:lang w:val="en-US" w:eastAsia="zh-CN" w:bidi="ar"/>
        </w:rPr>
        <w:t>年无国有资本经营预算。</w:t>
      </w:r>
    </w:p>
    <w:p>
      <w:pPr>
        <w:keepNext w:val="0"/>
        <w:keepLines w:val="0"/>
        <w:widowControl/>
        <w:suppressLineNumbers w:val="0"/>
        <w:ind w:firstLine="640" w:firstLineChars="200"/>
        <w:jc w:val="left"/>
      </w:pPr>
      <w:r>
        <w:rPr>
          <w:rFonts w:hint="eastAsia" w:ascii="Times New Roman" w:hAnsi="Times New Roman" w:eastAsia="楷体_GB2312" w:cs="Times New Roman"/>
          <w:kern w:val="2"/>
          <w:sz w:val="32"/>
          <w:szCs w:val="32"/>
          <w:lang w:val="en-US" w:eastAsia="zh-CN" w:bidi="ar"/>
        </w:rPr>
        <w:t>六、一般公共预算</w:t>
      </w:r>
      <w:r>
        <w:rPr>
          <w:rFonts w:hint="default" w:ascii="Times New Roman" w:hAnsi="Times New Roman" w:eastAsia="楷体_GB2312" w:cs="Times New Roman"/>
          <w:kern w:val="2"/>
          <w:sz w:val="32"/>
          <w:szCs w:val="32"/>
          <w:lang w:val="en-US" w:eastAsia="zh-CN" w:bidi="ar"/>
        </w:rPr>
        <w:t>“</w:t>
      </w:r>
      <w:r>
        <w:rPr>
          <w:rFonts w:hint="eastAsia" w:ascii="Times New Roman" w:hAnsi="Times New Roman" w:eastAsia="楷体_GB2312" w:cs="Times New Roman"/>
          <w:kern w:val="2"/>
          <w:sz w:val="32"/>
          <w:szCs w:val="32"/>
          <w:lang w:val="en-US" w:eastAsia="zh-CN" w:bidi="ar"/>
        </w:rPr>
        <w:t>三公</w:t>
      </w:r>
      <w:r>
        <w:rPr>
          <w:rFonts w:hint="default" w:ascii="Times New Roman" w:hAnsi="Times New Roman" w:eastAsia="楷体_GB2312" w:cs="Times New Roman"/>
          <w:kern w:val="2"/>
          <w:sz w:val="32"/>
          <w:szCs w:val="32"/>
          <w:lang w:val="en-US" w:eastAsia="zh-CN" w:bidi="ar"/>
        </w:rPr>
        <w:t>”</w:t>
      </w:r>
      <w:r>
        <w:rPr>
          <w:rFonts w:hint="eastAsia" w:ascii="Times New Roman" w:hAnsi="Times New Roman" w:eastAsia="楷体_GB2312" w:cs="Times New Roman"/>
          <w:kern w:val="2"/>
          <w:sz w:val="32"/>
          <w:szCs w:val="32"/>
          <w:lang w:val="en-US" w:eastAsia="zh-CN" w:bidi="ar"/>
        </w:rPr>
        <w:t>经费支出情况说明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广西壮族自治区地质物资总站2025年无财政拨款</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三公</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支出预算。</w:t>
      </w:r>
    </w:p>
    <w:p>
      <w:pPr>
        <w:keepNext w:val="0"/>
        <w:keepLines w:val="0"/>
        <w:widowControl w:val="0"/>
        <w:suppressLineNumbers w:val="0"/>
        <w:tabs>
          <w:tab w:val="center" w:pos="4475"/>
        </w:tabs>
        <w:spacing w:before="0" w:beforeAutospacing="0" w:after="0" w:afterAutospacing="0" w:line="500" w:lineRule="exact"/>
        <w:ind w:left="0" w:right="0" w:firstLine="645"/>
        <w:jc w:val="both"/>
        <w:rPr>
          <w:rFonts w:eastAsia="仿宋_GB2312"/>
          <w:sz w:val="32"/>
          <w:szCs w:val="32"/>
          <w:lang w:val="en-US"/>
        </w:rPr>
      </w:pPr>
      <w:r>
        <w:rPr>
          <w:rFonts w:hint="eastAsia" w:ascii="Times New Roman" w:hAnsi="Times New Roman" w:eastAsia="楷体_GB2312" w:cs="楷体_GB2312"/>
          <w:kern w:val="0"/>
          <w:sz w:val="32"/>
          <w:szCs w:val="32"/>
          <w:lang w:val="en-US" w:eastAsia="zh-CN" w:bidi="ar"/>
        </w:rPr>
        <w:t>七、事业单位相关运行经费预算安排情况说明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2025年事业单位运行费用预算236.32万元，其中一般公共预算安排支出55.88万元，单位资金安排180.44万元。主要用于单位为保证日常运转发生的基本支出。如根据国家规定的基本工资和津补贴标准等安排的人员经费支出、按自治区统一规定的开支标准安排的办公费、印刷费、水电费、差旅费等日常公用经费支出。</w:t>
      </w:r>
    </w:p>
    <w:p>
      <w:pPr>
        <w:keepNext w:val="0"/>
        <w:keepLines w:val="0"/>
        <w:widowControl w:val="0"/>
        <w:suppressLineNumbers w:val="0"/>
        <w:spacing w:before="0" w:beforeAutospacing="0" w:after="0" w:afterAutospacing="0" w:line="500" w:lineRule="exact"/>
        <w:ind w:left="0" w:right="0" w:firstLine="645"/>
        <w:jc w:val="both"/>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八、政府采购预算安排情况说明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2025年政府采购预算7.72万元，同比减少6.80万元，下降46.83%，其中：集中采购7.72万元，占政府采购预算的100%，同比减少6.80万元，下降46.83%；分散采购预算0万元，占政府采购预算的0%，同比减少了0万元，下降0%。</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政府采购项目类型：货物类采购预算2.75万元，服务类采购预算4.97万元，无工程类采购预算。 </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政府采购资金类型：我单位政府采购资金全为单位自有资金。 </w:t>
      </w:r>
    </w:p>
    <w:p>
      <w:pPr>
        <w:keepNext w:val="0"/>
        <w:keepLines w:val="0"/>
        <w:widowControl w:val="0"/>
        <w:suppressLineNumbers w:val="0"/>
        <w:spacing w:before="0" w:beforeAutospacing="0" w:after="0" w:afterAutospacing="0" w:line="500" w:lineRule="exact"/>
        <w:ind w:left="0" w:right="0" w:firstLine="645"/>
        <w:jc w:val="both"/>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九、国有资产占用情况说明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根据自治区公务用车制度改革方案相关规定核定我单位保留的经营和业务保障用车编制为2辆（其中越野车1辆，货车1辆），实有车辆2辆。</w:t>
      </w:r>
    </w:p>
    <w:p>
      <w:pPr>
        <w:keepNext w:val="0"/>
        <w:keepLines w:val="0"/>
        <w:widowControl w:val="0"/>
        <w:suppressLineNumbers w:val="0"/>
        <w:spacing w:before="0" w:beforeAutospacing="0" w:after="0" w:afterAutospacing="0" w:line="500" w:lineRule="exact"/>
        <w:ind w:left="0" w:right="0" w:firstLine="645"/>
        <w:jc w:val="both"/>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十、预算绩效目标情况说明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（一）</w:t>
      </w:r>
      <w:r>
        <w:rPr>
          <w:rFonts w:hint="eastAsia" w:ascii="仿宋_GB2312" w:hAnsi="仿宋_GB2312" w:eastAsia="仿宋_GB2312" w:cs="仿宋_GB2312"/>
          <w:kern w:val="2"/>
          <w:sz w:val="32"/>
          <w:szCs w:val="32"/>
          <w:lang w:val="en-US" w:eastAsia="zh-CN" w:bidi="ar"/>
        </w:rPr>
        <w:t>我单位2025年部门预算所有项目支出全面实施绩效目标管理，涉及7个项目，其中包括1个重要项目、6个一般项目，全部编制绩效目标，涉及资金449.73万元，其中一般公共预算拨款0万元，单位资金449.73万元，无上年结余收入。</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（二）</w:t>
      </w:r>
      <w:r>
        <w:rPr>
          <w:rFonts w:hint="eastAsia" w:ascii="仿宋_GB2312" w:hAnsi="仿宋_GB2312" w:eastAsia="仿宋_GB2312" w:cs="仿宋_GB2312"/>
          <w:kern w:val="2"/>
          <w:sz w:val="32"/>
          <w:szCs w:val="32"/>
          <w:lang w:val="en-US" w:eastAsia="zh-CN" w:bidi="ar"/>
        </w:rPr>
        <w:t>重点项目预算绩效目标说明。</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项目名称：事业单位在职人员绩效工资。</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预算金额：223.32万元。</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年度绩效目标：按时发放在编职工的绩效工资，及时保障职工的利益，保证单位各项工作的正常开展。</w:t>
      </w:r>
    </w:p>
    <w:p>
      <w:pPr>
        <w:keepNext w:val="0"/>
        <w:keepLines w:val="0"/>
        <w:widowControl w:val="0"/>
        <w:suppressLineNumbers w:val="0"/>
        <w:spacing w:before="0" w:beforeAutospacing="0" w:after="0" w:afterAutospacing="0" w:line="500" w:lineRule="exact"/>
        <w:ind w:left="0" w:right="0" w:firstLine="640" w:firstLineChars="200"/>
        <w:jc w:val="both"/>
        <w:rPr>
          <w:rFonts w:hint="eastAsia" w:ascii="Times New Roman" w:hAnsi="Times New Roman"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00" w:lineRule="exact"/>
        <w:ind w:left="0" w:right="0" w:firstLine="645"/>
        <w:jc w:val="both"/>
        <w:rPr>
          <w:rFonts w:eastAsia="黑体"/>
          <w:sz w:val="32"/>
          <w:szCs w:val="32"/>
          <w:lang w:val="en-US"/>
        </w:rPr>
      </w:pPr>
      <w:r>
        <w:rPr>
          <w:rFonts w:hint="eastAsia" w:ascii="Times New Roman" w:hAnsi="Times New Roman" w:eastAsia="黑体" w:cs="黑体"/>
          <w:kern w:val="2"/>
          <w:sz w:val="32"/>
          <w:szCs w:val="32"/>
          <w:lang w:val="en-US" w:eastAsia="zh-CN" w:bidi="ar"/>
        </w:rPr>
        <w:t>第三部分：名词解释</w:t>
      </w:r>
    </w:p>
    <w:p>
      <w:pPr>
        <w:keepNext w:val="0"/>
        <w:keepLines w:val="0"/>
        <w:widowControl w:val="0"/>
        <w:suppressLineNumbers w:val="0"/>
        <w:tabs>
          <w:tab w:val="center" w:pos="4475"/>
        </w:tabs>
        <w:spacing w:before="0" w:beforeAutospacing="0" w:after="0" w:afterAutospacing="0" w:line="500" w:lineRule="exact"/>
        <w:ind w:left="0" w:right="0" w:firstLine="645"/>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一、收入类</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（一）财政拨款收入：指自治区财政部门当年拨付的资金。</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（二）事业收入：指事业单位开展专业业务活动及辅助活动取得的收入。</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（三）事业单位经营收入：指事业单位在专业业务活动及其辅助活动之外开展非独立核算经营活动取得的收入。</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（四）其他收入：指除上述</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财政拨款收入</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事业收入</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事业单位经营收入</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等以外的收入。</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（五）上年结转和结余：指以前年度尚未完成、结转到本年按有关规定继续使用的资金。</w:t>
      </w:r>
    </w:p>
    <w:p>
      <w:pPr>
        <w:keepNext w:val="0"/>
        <w:keepLines w:val="0"/>
        <w:widowControl w:val="0"/>
        <w:suppressLineNumbers w:val="0"/>
        <w:tabs>
          <w:tab w:val="center" w:pos="4475"/>
        </w:tabs>
        <w:spacing w:before="0" w:beforeAutospacing="0" w:after="0" w:afterAutospacing="0" w:line="500" w:lineRule="exact"/>
        <w:ind w:left="0" w:right="0" w:firstLine="645"/>
        <w:jc w:val="both"/>
        <w:rPr>
          <w:rFonts w:eastAsia="楷体_GB2312"/>
          <w:sz w:val="32"/>
          <w:szCs w:val="32"/>
          <w:lang w:val="en-US"/>
        </w:rPr>
      </w:pPr>
      <w:r>
        <w:rPr>
          <w:rFonts w:hint="eastAsia" w:ascii="Times New Roman" w:hAnsi="Times New Roman" w:eastAsia="楷体_GB2312" w:cs="楷体_GB2312"/>
          <w:kern w:val="2"/>
          <w:sz w:val="32"/>
          <w:szCs w:val="32"/>
          <w:lang w:val="en-US" w:eastAsia="zh-CN" w:bidi="ar"/>
        </w:rPr>
        <w:t>二、支出类</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（一）资源勘探工业信息等支出：指用于资源勘探、制造业、建筑业、工业信息等方面支出。</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（二）资源勘探工业信息等支出（类）资源勘探开发（款）其他资源勘探业支出（项）：指其他用于资源勘探业方面的支出。</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（三）基本支出：指为保障机构正常运转、完成日常工作任务而发生的人员支出和公用支出。</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（四）项目支出：指在基本支出之外为完成特定行政任务和事业发展目标所发生的支出。</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五）事业单位运行经费：为保障局机关运行用于购买货物和服务的各项资金，包括办公及印刷费、邮电费、差旅费、会议费、日常维修费、专用材料及一般设备购置费、办公用房水电费、公务用车运行维护费以及其他费用。</w:t>
      </w:r>
    </w:p>
    <w:p>
      <w:pPr>
        <w:keepNext w:val="0"/>
        <w:keepLines w:val="0"/>
        <w:widowControl w:val="0"/>
        <w:suppressLineNumbers w:val="0"/>
        <w:spacing w:before="0" w:beforeAutospacing="0" w:after="0" w:afterAutospacing="0" w:line="500" w:lineRule="exact"/>
        <w:ind w:left="0" w:right="0" w:firstLine="645"/>
        <w:jc w:val="both"/>
        <w:rPr>
          <w:rFonts w:hint="default" w:ascii="仿宋_GB2312" w:hAnsi="仿宋_GB2312" w:eastAsia="仿宋_GB2312" w:cs="仿宋_GB2312"/>
          <w:kern w:val="2"/>
          <w:sz w:val="32"/>
          <w:szCs w:val="32"/>
          <w:lang w:val="en-US" w:eastAsia="zh-CN" w:bidi="ar"/>
        </w:rPr>
      </w:pPr>
    </w:p>
    <w:p>
      <w:pPr>
        <w:keepNext w:val="0"/>
        <w:keepLines w:val="0"/>
        <w:widowControl w:val="0"/>
        <w:suppressLineNumbers w:val="0"/>
        <w:tabs>
          <w:tab w:val="center" w:pos="4475"/>
        </w:tabs>
        <w:spacing w:before="0" w:beforeAutospacing="0" w:after="0" w:afterAutospacing="0" w:line="500" w:lineRule="exact"/>
        <w:ind w:left="0" w:right="0" w:firstLine="640" w:firstLineChars="200"/>
        <w:jc w:val="both"/>
        <w:rPr>
          <w:rFonts w:eastAsia="黑体"/>
          <w:sz w:val="32"/>
          <w:szCs w:val="32"/>
          <w:lang w:val="en-US"/>
        </w:rPr>
      </w:pPr>
      <w:r>
        <w:rPr>
          <w:rFonts w:hint="eastAsia" w:ascii="Times New Roman" w:hAnsi="Times New Roman" w:eastAsia="黑体" w:cs="黑体"/>
          <w:kern w:val="2"/>
          <w:sz w:val="32"/>
          <w:szCs w:val="32"/>
          <w:lang w:val="en-US" w:eastAsia="zh-CN" w:bidi="ar"/>
        </w:rPr>
        <w:t>第四部分：</w:t>
      </w:r>
      <w:r>
        <w:rPr>
          <w:rFonts w:hint="eastAsia" w:ascii="Times New Roman" w:hAnsi="Times New Roman" w:eastAsia="黑体" w:cs="黑体"/>
          <w:color w:val="000000"/>
          <w:kern w:val="2"/>
          <w:sz w:val="32"/>
          <w:szCs w:val="32"/>
          <w:lang w:val="en-US" w:eastAsia="zh-CN" w:bidi="ar"/>
        </w:rPr>
        <w:t>广西壮族自治区地质物资总站</w:t>
      </w:r>
      <w:r>
        <w:rPr>
          <w:rFonts w:hint="default" w:ascii="Times New Roman" w:hAnsi="Times New Roman" w:eastAsia="黑体" w:cs="Times New Roman"/>
          <w:kern w:val="2"/>
          <w:sz w:val="32"/>
          <w:szCs w:val="32"/>
          <w:lang w:val="en-US" w:eastAsia="zh-CN" w:bidi="ar"/>
        </w:rPr>
        <w:t>2025</w:t>
      </w:r>
      <w:r>
        <w:rPr>
          <w:rFonts w:hint="eastAsia" w:ascii="Times New Roman" w:hAnsi="Times New Roman" w:eastAsia="黑体" w:cs="黑体"/>
          <w:kern w:val="2"/>
          <w:sz w:val="32"/>
          <w:szCs w:val="32"/>
          <w:lang w:val="en-US" w:eastAsia="zh-CN" w:bidi="ar"/>
        </w:rPr>
        <w:t>年部门预算报表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bookmarkStart w:id="0" w:name="RANGE!A1:D60"/>
      <w:bookmarkEnd w:id="0"/>
      <w:r>
        <w:rPr>
          <w:rFonts w:hint="eastAsia" w:ascii="仿宋_GB2312" w:hAnsi="仿宋_GB2312" w:eastAsia="仿宋_GB2312" w:cs="仿宋_GB2312"/>
          <w:kern w:val="2"/>
          <w:sz w:val="32"/>
          <w:szCs w:val="32"/>
          <w:lang w:val="en-US" w:eastAsia="zh-CN" w:bidi="ar"/>
        </w:rPr>
        <w:t>表一：单位收支总体情况表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表二：单位收入总体情况表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表三：单位支出总体情况表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表四：财政拨款收支总体情况表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表五：一般公共预算支出情况表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表六：一般公共预算基本支出情况表</w:t>
      </w:r>
    </w:p>
    <w:p>
      <w:pPr>
        <w:keepNext w:val="0"/>
        <w:keepLines w:val="0"/>
        <w:widowControl w:val="0"/>
        <w:suppressLineNumbers w:val="0"/>
        <w:spacing w:before="0" w:beforeAutospacing="0" w:after="0" w:afterAutospacing="0" w:line="500" w:lineRule="exact"/>
        <w:ind w:left="1598" w:leftChars="304" w:right="0" w:hanging="960" w:hangingChars="3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表七：财政拨款</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三公</w:t>
      </w:r>
      <w:r>
        <w:rPr>
          <w:rFonts w:hint="default"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经费、会议费和培训费支出情况表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表八：政府性基金预算支出情况表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表九：国有资本经营预算支出情况表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表十：自治区本级项目绩效目标公开表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表十一：对下转移支付项目绩效目标公开表</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上述报表详见附件。</w:t>
      </w:r>
    </w:p>
    <w:p>
      <w:pPr>
        <w:keepNext w:val="0"/>
        <w:keepLines w:val="0"/>
        <w:widowControl w:val="0"/>
        <w:suppressLineNumbers w:val="0"/>
        <w:spacing w:before="0" w:beforeAutospacing="0" w:after="0" w:afterAutospacing="0" w:line="500" w:lineRule="exact"/>
        <w:ind w:left="0" w:right="0" w:firstLine="645"/>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00" w:lineRule="exact"/>
        <w:ind w:right="0"/>
        <w:jc w:val="both"/>
        <w:rPr>
          <w:rFonts w:hint="eastAsia" w:ascii="仿宋_GB2312" w:hAnsi="仿宋_GB2312" w:eastAsia="仿宋_GB2312" w:cs="仿宋_GB2312"/>
          <w:kern w:val="2"/>
          <w:sz w:val="32"/>
          <w:szCs w:val="32"/>
          <w:lang w:val="en-US" w:eastAsia="zh-CN" w:bidi="ar"/>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534BA"/>
    <w:multiLevelType w:val="multilevel"/>
    <w:tmpl w:val="925534BA"/>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C37B5"/>
    <w:rsid w:val="00B06E28"/>
    <w:rsid w:val="02AD7AC3"/>
    <w:rsid w:val="042D5F1B"/>
    <w:rsid w:val="060043AE"/>
    <w:rsid w:val="0748600C"/>
    <w:rsid w:val="097A4477"/>
    <w:rsid w:val="0A2A7C4B"/>
    <w:rsid w:val="0D242309"/>
    <w:rsid w:val="13BA5631"/>
    <w:rsid w:val="1FD60202"/>
    <w:rsid w:val="288E0E9B"/>
    <w:rsid w:val="2D5D3379"/>
    <w:rsid w:val="30182170"/>
    <w:rsid w:val="37FB7CA5"/>
    <w:rsid w:val="386F3AB4"/>
    <w:rsid w:val="3BE15918"/>
    <w:rsid w:val="3D4F2F4A"/>
    <w:rsid w:val="415E0B58"/>
    <w:rsid w:val="44B32ADD"/>
    <w:rsid w:val="47C71B4E"/>
    <w:rsid w:val="4F557220"/>
    <w:rsid w:val="508551C2"/>
    <w:rsid w:val="51FB481B"/>
    <w:rsid w:val="56986F93"/>
    <w:rsid w:val="5C221AFD"/>
    <w:rsid w:val="5C8360FD"/>
    <w:rsid w:val="5F4D50E3"/>
    <w:rsid w:val="64395C36"/>
    <w:rsid w:val="698E181D"/>
    <w:rsid w:val="6BAA038D"/>
    <w:rsid w:val="6BE12ED5"/>
    <w:rsid w:val="750719AA"/>
    <w:rsid w:val="7D111144"/>
    <w:rsid w:val="7DBC37B5"/>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Plain Text"/>
    <w:basedOn w:val="1"/>
    <w:link w:val="7"/>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纯文本 Char"/>
    <w:basedOn w:val="6"/>
    <w:link w:val="2"/>
    <w:qFormat/>
    <w:uiPriority w:val="0"/>
    <w:rPr>
      <w:rFonts w:hint="eastAsia" w:ascii="宋体" w:hAnsi="Courier New" w:eastAsia="宋体" w:cs="Courier New"/>
      <w:kern w:val="2"/>
      <w:sz w:val="21"/>
      <w:szCs w:val="21"/>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 w:type="character" w:customStyle="1" w:styleId="10">
    <w:name w:val="页眉 Char1"/>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3593</Words>
  <Characters>4004</Characters>
  <Lines>0</Lines>
  <Paragraphs>0</Paragraphs>
  <TotalTime>0</TotalTime>
  <ScaleCrop>false</ScaleCrop>
  <LinksUpToDate>false</LinksUpToDate>
  <CharactersWithSpaces>4008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2025-01-23T02:56:00Z</dcterms:created>
  <dc:creator>四四</dc:creator>
  <cp:lastModifiedBy>hu</cp:lastModifiedBy>
  <dcterms:modified xsi:type="dcterms:W3CDTF">2025-02-27T09:17:16Z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DCF9B2CF19754BA2801031F87F7AE10C_11</vt:lpwstr>
  </property>
  <property fmtid="{D5CDD505-2E9C-101B-9397-08002B2CF9AE}" pid="4" name="KSOTemplateDocerSaveRecord">
    <vt:lpwstr>eyJoZGlkIjoiNjFkOWY4ZjQ3NWJjYmE1ZGZiMGRhMDFjMzAwMGNjNjUiLCJ1c2VySWQiOiIyODc5OTAwMCJ9</vt:lpwstr>
  </property>
</Properties>
</file>