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40" w:rightChars="-104"/>
        <w:jc w:val="center"/>
        <w:rPr>
          <w:rFonts w:hint="eastAsia" w:ascii="方正小标宋简体" w:eastAsia="方正小标宋简体"/>
          <w:b w:val="0"/>
          <w:bCs w:val="0"/>
          <w:sz w:val="44"/>
          <w:szCs w:val="44"/>
          <w:lang w:val="en-US" w:eastAsia="zh-CN"/>
        </w:rPr>
      </w:pPr>
      <w:r>
        <w:rPr>
          <w:rFonts w:hint="eastAsia" w:ascii="方正小标宋简体" w:eastAsia="方正小标宋简体"/>
          <w:b w:val="0"/>
          <w:bCs w:val="0"/>
          <w:sz w:val="44"/>
          <w:szCs w:val="44"/>
          <w:lang w:val="en-US" w:eastAsia="zh-CN"/>
        </w:rPr>
        <w:t>广西壮族自治区二七二地质队</w:t>
      </w:r>
    </w:p>
    <w:p>
      <w:pPr>
        <w:adjustRightInd w:val="0"/>
        <w:snapToGrid w:val="0"/>
        <w:spacing w:line="560" w:lineRule="exact"/>
        <w:ind w:right="-340" w:rightChars="-104"/>
        <w:jc w:val="center"/>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44"/>
        </w:rPr>
        <w:t>202</w:t>
      </w:r>
      <w:r>
        <w:rPr>
          <w:rFonts w:hint="eastAsia" w:ascii="方正小标宋简体" w:eastAsia="方正小标宋简体"/>
          <w:b w:val="0"/>
          <w:bCs w:val="0"/>
          <w:sz w:val="44"/>
          <w:szCs w:val="44"/>
          <w:lang w:val="en-US" w:eastAsia="zh-CN"/>
        </w:rPr>
        <w:t>6</w:t>
      </w:r>
      <w:r>
        <w:rPr>
          <w:rFonts w:hint="eastAsia" w:ascii="方正小标宋简体" w:eastAsia="方正小标宋简体"/>
          <w:b w:val="0"/>
          <w:bCs w:val="0"/>
          <w:sz w:val="44"/>
          <w:szCs w:val="44"/>
        </w:rPr>
        <w:t>年</w:t>
      </w:r>
      <w:r>
        <w:rPr>
          <w:rFonts w:hint="eastAsia" w:ascii="方正小标宋简体" w:eastAsia="方正小标宋简体"/>
          <w:b w:val="0"/>
          <w:bCs w:val="0"/>
          <w:sz w:val="44"/>
          <w:szCs w:val="44"/>
          <w:lang w:eastAsia="zh-CN"/>
        </w:rPr>
        <w:t>单位</w:t>
      </w:r>
      <w:r>
        <w:rPr>
          <w:rFonts w:hint="eastAsia" w:ascii="方正小标宋简体" w:eastAsia="方正小标宋简体"/>
          <w:b w:val="0"/>
          <w:bCs w:val="0"/>
          <w:sz w:val="44"/>
          <w:szCs w:val="44"/>
        </w:rPr>
        <w:t>预算公开</w:t>
      </w:r>
      <w:r>
        <w:rPr>
          <w:rFonts w:hint="eastAsia" w:ascii="方正小标宋简体" w:eastAsia="方正小标宋简体"/>
          <w:b w:val="0"/>
          <w:bCs w:val="0"/>
          <w:sz w:val="44"/>
          <w:szCs w:val="44"/>
          <w:lang w:eastAsia="zh-CN"/>
        </w:rPr>
        <w:t>说明</w:t>
      </w:r>
    </w:p>
    <w:p>
      <w:pPr>
        <w:adjustRightInd w:val="0"/>
        <w:snapToGrid w:val="0"/>
        <w:spacing w:line="560" w:lineRule="exact"/>
        <w:ind w:right="-340" w:rightChars="-104"/>
        <w:jc w:val="center"/>
        <w:rPr>
          <w:rFonts w:hint="eastAsia"/>
        </w:rPr>
      </w:pPr>
    </w:p>
    <w:p>
      <w:pPr>
        <w:pStyle w:val="3"/>
        <w:bidi w:val="0"/>
        <w:ind w:left="0" w:leftChars="0" w:firstLine="0" w:firstLineChars="0"/>
        <w:jc w:val="center"/>
        <w:rPr>
          <w:rFonts w:hint="eastAsia"/>
        </w:rPr>
      </w:pPr>
      <w:r>
        <w:rPr>
          <w:rFonts w:hint="eastAsia"/>
        </w:rPr>
        <w:t>目  录</w:t>
      </w:r>
    </w:p>
    <w:p>
      <w:pPr>
        <w:rPr>
          <w:rFonts w:hint="eastAsia"/>
        </w:rPr>
      </w:pPr>
    </w:p>
    <w:p>
      <w:pPr>
        <w:pStyle w:val="3"/>
        <w:pageBreakBefore w:val="0"/>
        <w:kinsoku/>
        <w:overflowPunct/>
        <w:autoSpaceDE/>
        <w:autoSpaceDN/>
        <w:bidi w:val="0"/>
        <w:adjustRightInd w:val="0"/>
        <w:snapToGrid w:val="0"/>
        <w:spacing w:line="500" w:lineRule="exact"/>
        <w:rPr>
          <w:rFonts w:hint="eastAsia"/>
        </w:rPr>
      </w:pPr>
      <w:r>
        <w:rPr>
          <w:rFonts w:hint="eastAsia"/>
        </w:rPr>
        <w:t>第一部分：广西壮族自治区二七二地质队</w:t>
      </w:r>
      <w:r>
        <w:rPr>
          <w:rFonts w:hint="eastAsia"/>
          <w:lang w:eastAsia="zh-CN"/>
        </w:rPr>
        <w:t>单位</w:t>
      </w:r>
      <w:r>
        <w:rPr>
          <w:rFonts w:hint="eastAsia"/>
        </w:rPr>
        <w:t>概况</w:t>
      </w:r>
    </w:p>
    <w:p>
      <w:pPr>
        <w:pStyle w:val="4"/>
        <w:pageBreakBefore w:val="0"/>
        <w:kinsoku/>
        <w:overflowPunct/>
        <w:autoSpaceDE/>
        <w:autoSpaceDN/>
        <w:bidi w:val="0"/>
        <w:adjustRightInd w:val="0"/>
        <w:snapToGrid w:val="0"/>
        <w:spacing w:line="500" w:lineRule="exact"/>
        <w:rPr>
          <w:rFonts w:hint="eastAsia"/>
          <w:lang w:val="en-US" w:eastAsia="zh-CN"/>
        </w:rPr>
      </w:pPr>
      <w:r>
        <w:rPr>
          <w:rFonts w:hint="eastAsia"/>
          <w:lang w:val="en-US" w:eastAsia="zh-CN"/>
        </w:rPr>
        <w:t>一、主要职责</w:t>
      </w:r>
    </w:p>
    <w:p>
      <w:pPr>
        <w:pStyle w:val="4"/>
        <w:pageBreakBefore w:val="0"/>
        <w:kinsoku/>
        <w:overflowPunct/>
        <w:autoSpaceDE/>
        <w:autoSpaceDN/>
        <w:bidi w:val="0"/>
        <w:adjustRightInd w:val="0"/>
        <w:snapToGrid w:val="0"/>
        <w:spacing w:line="500" w:lineRule="exact"/>
        <w:rPr>
          <w:rFonts w:hint="default"/>
          <w:lang w:val="en-US" w:eastAsia="zh-CN"/>
        </w:rPr>
      </w:pPr>
      <w:r>
        <w:rPr>
          <w:rFonts w:hint="eastAsia"/>
          <w:lang w:val="en-US" w:eastAsia="zh-CN"/>
        </w:rPr>
        <w:t>二、机构设置情况</w:t>
      </w:r>
    </w:p>
    <w:p>
      <w:pPr>
        <w:pStyle w:val="3"/>
        <w:pageBreakBefore w:val="0"/>
        <w:kinsoku/>
        <w:overflowPunct/>
        <w:autoSpaceDE/>
        <w:autoSpaceDN/>
        <w:bidi w:val="0"/>
        <w:adjustRightInd w:val="0"/>
        <w:snapToGrid w:val="0"/>
        <w:spacing w:line="500" w:lineRule="exact"/>
        <w:rPr>
          <w:rFonts w:hint="eastAsia"/>
        </w:rPr>
      </w:pPr>
      <w:r>
        <w:rPr>
          <w:rFonts w:hint="eastAsia"/>
        </w:rPr>
        <w:t>第二部分：广西壮族自治区二七二地质队202</w:t>
      </w:r>
      <w:r>
        <w:rPr>
          <w:rFonts w:hint="eastAsia"/>
          <w:lang w:val="en-US" w:eastAsia="zh-CN"/>
        </w:rPr>
        <w:t>6</w:t>
      </w:r>
      <w:r>
        <w:rPr>
          <w:rFonts w:hint="eastAsia"/>
        </w:rPr>
        <w:t>年</w:t>
      </w:r>
      <w:r>
        <w:rPr>
          <w:rFonts w:hint="eastAsia"/>
          <w:lang w:eastAsia="zh-CN"/>
        </w:rPr>
        <w:t>单位</w:t>
      </w:r>
      <w:r>
        <w:rPr>
          <w:rFonts w:hint="eastAsia"/>
        </w:rPr>
        <w:t>预算情况说明</w:t>
      </w:r>
    </w:p>
    <w:p>
      <w:pPr>
        <w:pStyle w:val="4"/>
        <w:pageBreakBefore w:val="0"/>
        <w:kinsoku/>
        <w:overflowPunct/>
        <w:autoSpaceDE/>
        <w:autoSpaceDN/>
        <w:bidi w:val="0"/>
        <w:adjustRightInd w:val="0"/>
        <w:snapToGrid w:val="0"/>
        <w:spacing w:line="500" w:lineRule="exact"/>
        <w:rPr>
          <w:rFonts w:hint="eastAsia"/>
        </w:rPr>
      </w:pPr>
      <w:r>
        <w:rPr>
          <w:rFonts w:hint="eastAsia"/>
        </w:rPr>
        <w:t>一、单位预算收支增减变化情况说明</w:t>
      </w:r>
    </w:p>
    <w:p>
      <w:pPr>
        <w:pStyle w:val="4"/>
        <w:pageBreakBefore w:val="0"/>
        <w:kinsoku/>
        <w:overflowPunct/>
        <w:autoSpaceDE/>
        <w:autoSpaceDN/>
        <w:bidi w:val="0"/>
        <w:adjustRightInd w:val="0"/>
        <w:snapToGrid w:val="0"/>
        <w:spacing w:line="500" w:lineRule="exact"/>
        <w:rPr>
          <w:rFonts w:hint="eastAsia"/>
        </w:rPr>
      </w:pPr>
      <w:r>
        <w:rPr>
          <w:rFonts w:hint="eastAsia"/>
        </w:rPr>
        <w:t>二、单位预算收入总体情况说明</w:t>
      </w:r>
    </w:p>
    <w:p>
      <w:pPr>
        <w:pStyle w:val="4"/>
        <w:pageBreakBefore w:val="0"/>
        <w:kinsoku/>
        <w:overflowPunct/>
        <w:autoSpaceDE/>
        <w:autoSpaceDN/>
        <w:bidi w:val="0"/>
        <w:adjustRightInd w:val="0"/>
        <w:snapToGrid w:val="0"/>
        <w:spacing w:line="500" w:lineRule="exact"/>
        <w:rPr>
          <w:rFonts w:hint="eastAsia"/>
        </w:rPr>
      </w:pPr>
      <w:r>
        <w:rPr>
          <w:rFonts w:hint="eastAsia"/>
        </w:rPr>
        <w:t>三、单位预算支出总体情况说明</w:t>
      </w:r>
    </w:p>
    <w:p>
      <w:pPr>
        <w:pStyle w:val="4"/>
        <w:pageBreakBefore w:val="0"/>
        <w:kinsoku/>
        <w:overflowPunct/>
        <w:autoSpaceDE/>
        <w:autoSpaceDN/>
        <w:bidi w:val="0"/>
        <w:adjustRightInd w:val="0"/>
        <w:snapToGrid w:val="0"/>
        <w:spacing w:line="500" w:lineRule="exact"/>
        <w:rPr>
          <w:rFonts w:hint="eastAsia"/>
        </w:rPr>
      </w:pPr>
      <w:r>
        <w:rPr>
          <w:rFonts w:hint="eastAsia"/>
        </w:rPr>
        <w:t>四、政府性基金预算支出情况说明</w:t>
      </w:r>
    </w:p>
    <w:p>
      <w:pPr>
        <w:pStyle w:val="4"/>
        <w:pageBreakBefore w:val="0"/>
        <w:kinsoku/>
        <w:overflowPunct/>
        <w:autoSpaceDE/>
        <w:autoSpaceDN/>
        <w:bidi w:val="0"/>
        <w:adjustRightInd w:val="0"/>
        <w:snapToGrid w:val="0"/>
        <w:spacing w:line="500" w:lineRule="exact"/>
        <w:rPr>
          <w:rFonts w:hint="eastAsia"/>
        </w:rPr>
      </w:pPr>
      <w:r>
        <w:rPr>
          <w:rFonts w:hint="eastAsia"/>
        </w:rPr>
        <w:t>五、国有资本经营预算支出情况说明</w:t>
      </w:r>
    </w:p>
    <w:p>
      <w:pPr>
        <w:pStyle w:val="4"/>
        <w:pageBreakBefore w:val="0"/>
        <w:kinsoku/>
        <w:overflowPunct/>
        <w:autoSpaceDE/>
        <w:autoSpaceDN/>
        <w:bidi w:val="0"/>
        <w:adjustRightInd w:val="0"/>
        <w:snapToGrid w:val="0"/>
        <w:spacing w:line="500" w:lineRule="exact"/>
        <w:rPr>
          <w:rFonts w:hint="eastAsia"/>
        </w:rPr>
      </w:pPr>
      <w:r>
        <w:rPr>
          <w:rFonts w:hint="eastAsia"/>
        </w:rPr>
        <w:t>六、一般公共预算“三公”经费支出情况说明</w:t>
      </w:r>
    </w:p>
    <w:p>
      <w:pPr>
        <w:pStyle w:val="4"/>
        <w:pageBreakBefore w:val="0"/>
        <w:kinsoku/>
        <w:overflowPunct/>
        <w:autoSpaceDE/>
        <w:autoSpaceDN/>
        <w:bidi w:val="0"/>
        <w:adjustRightInd w:val="0"/>
        <w:snapToGrid w:val="0"/>
        <w:spacing w:line="500" w:lineRule="exact"/>
        <w:rPr>
          <w:rFonts w:hint="eastAsia"/>
        </w:rPr>
      </w:pPr>
      <w:r>
        <w:rPr>
          <w:rFonts w:hint="eastAsia"/>
        </w:rPr>
        <w:t>七、事业单位相关运行经费安排情况说明</w:t>
      </w:r>
    </w:p>
    <w:p>
      <w:pPr>
        <w:pStyle w:val="4"/>
        <w:pageBreakBefore w:val="0"/>
        <w:kinsoku/>
        <w:overflowPunct/>
        <w:autoSpaceDE/>
        <w:autoSpaceDN/>
        <w:bidi w:val="0"/>
        <w:adjustRightInd w:val="0"/>
        <w:snapToGrid w:val="0"/>
        <w:spacing w:line="500" w:lineRule="exact"/>
        <w:rPr>
          <w:rFonts w:hint="eastAsia"/>
        </w:rPr>
      </w:pPr>
      <w:r>
        <w:rPr>
          <w:rFonts w:hint="eastAsia"/>
        </w:rPr>
        <w:t>八、政府采购预算安排情况说明</w:t>
      </w:r>
    </w:p>
    <w:p>
      <w:pPr>
        <w:pStyle w:val="4"/>
        <w:pageBreakBefore w:val="0"/>
        <w:kinsoku/>
        <w:overflowPunct/>
        <w:autoSpaceDE/>
        <w:autoSpaceDN/>
        <w:bidi w:val="0"/>
        <w:adjustRightInd w:val="0"/>
        <w:snapToGrid w:val="0"/>
        <w:spacing w:line="500" w:lineRule="exact"/>
        <w:rPr>
          <w:rFonts w:hint="eastAsia"/>
        </w:rPr>
      </w:pPr>
      <w:r>
        <w:rPr>
          <w:rFonts w:hint="eastAsia"/>
        </w:rPr>
        <w:t>九、国有资产占用情况说明</w:t>
      </w:r>
    </w:p>
    <w:p>
      <w:pPr>
        <w:pStyle w:val="4"/>
        <w:pageBreakBefore w:val="0"/>
        <w:kinsoku/>
        <w:overflowPunct/>
        <w:autoSpaceDE/>
        <w:autoSpaceDN/>
        <w:bidi w:val="0"/>
        <w:adjustRightInd w:val="0"/>
        <w:snapToGrid w:val="0"/>
        <w:spacing w:line="500" w:lineRule="exact"/>
        <w:rPr>
          <w:rFonts w:hint="eastAsia"/>
        </w:rPr>
      </w:pPr>
      <w:r>
        <w:rPr>
          <w:rFonts w:hint="eastAsia"/>
        </w:rPr>
        <w:t>十、预算</w:t>
      </w:r>
      <w:r>
        <w:rPr>
          <w:rFonts w:hint="eastAsia"/>
          <w:lang w:val="en-US" w:eastAsia="zh-CN"/>
        </w:rPr>
        <w:t>项目</w:t>
      </w:r>
      <w:r>
        <w:rPr>
          <w:rFonts w:hint="eastAsia"/>
        </w:rPr>
        <w:t>绩效目标情况说明</w:t>
      </w:r>
    </w:p>
    <w:p>
      <w:pPr>
        <w:pStyle w:val="3"/>
        <w:pageBreakBefore w:val="0"/>
        <w:kinsoku/>
        <w:overflowPunct/>
        <w:autoSpaceDE/>
        <w:autoSpaceDN/>
        <w:bidi w:val="0"/>
        <w:adjustRightInd w:val="0"/>
        <w:snapToGrid w:val="0"/>
        <w:spacing w:line="500" w:lineRule="exact"/>
        <w:rPr>
          <w:rFonts w:hint="eastAsia"/>
        </w:rPr>
      </w:pPr>
      <w:r>
        <w:rPr>
          <w:rFonts w:hint="eastAsia"/>
        </w:rPr>
        <w:t>第三部分：名词解释</w:t>
      </w:r>
    </w:p>
    <w:p>
      <w:pPr>
        <w:pStyle w:val="3"/>
        <w:pageBreakBefore w:val="0"/>
        <w:kinsoku/>
        <w:overflowPunct/>
        <w:autoSpaceDE/>
        <w:autoSpaceDN/>
        <w:bidi w:val="0"/>
        <w:adjustRightInd w:val="0"/>
        <w:snapToGrid w:val="0"/>
        <w:spacing w:line="500" w:lineRule="exact"/>
        <w:rPr>
          <w:rFonts w:hint="eastAsia"/>
        </w:rPr>
      </w:pPr>
      <w:r>
        <w:rPr>
          <w:rFonts w:hint="eastAsia"/>
        </w:rPr>
        <w:t>第四部分：广西壮族自治区二七二地质队202</w:t>
      </w:r>
      <w:r>
        <w:rPr>
          <w:rFonts w:hint="eastAsia"/>
          <w:lang w:val="en-US" w:eastAsia="zh-CN"/>
        </w:rPr>
        <w:t>6</w:t>
      </w:r>
      <w:r>
        <w:rPr>
          <w:rFonts w:hint="eastAsia"/>
        </w:rPr>
        <w:t>年</w:t>
      </w:r>
      <w:r>
        <w:rPr>
          <w:rFonts w:hint="eastAsia"/>
          <w:lang w:eastAsia="zh-CN"/>
        </w:rPr>
        <w:t>单位</w:t>
      </w:r>
      <w:r>
        <w:rPr>
          <w:rFonts w:hint="eastAsia"/>
        </w:rPr>
        <w:t>预算报表</w:t>
      </w:r>
    </w:p>
    <w:p>
      <w:pPr>
        <w:pStyle w:val="4"/>
        <w:pageBreakBefore w:val="0"/>
        <w:kinsoku/>
        <w:overflowPunct/>
        <w:autoSpaceDE/>
        <w:autoSpaceDN/>
        <w:bidi w:val="0"/>
        <w:adjustRightInd w:val="0"/>
        <w:snapToGrid w:val="0"/>
        <w:spacing w:line="500" w:lineRule="exact"/>
        <w:rPr>
          <w:rFonts w:hint="eastAsia"/>
        </w:rPr>
      </w:pPr>
      <w:r>
        <w:rPr>
          <w:rFonts w:hint="eastAsia"/>
        </w:rPr>
        <w:t>表一：单位收支总体情况表</w:t>
      </w:r>
    </w:p>
    <w:p>
      <w:pPr>
        <w:pStyle w:val="4"/>
        <w:pageBreakBefore w:val="0"/>
        <w:kinsoku/>
        <w:overflowPunct/>
        <w:autoSpaceDE/>
        <w:autoSpaceDN/>
        <w:bidi w:val="0"/>
        <w:adjustRightInd w:val="0"/>
        <w:snapToGrid w:val="0"/>
        <w:spacing w:line="500" w:lineRule="exact"/>
        <w:rPr>
          <w:rFonts w:hint="eastAsia"/>
        </w:rPr>
      </w:pPr>
      <w:r>
        <w:rPr>
          <w:rFonts w:hint="eastAsia"/>
        </w:rPr>
        <w:t>表二：单位收入总体情况表</w:t>
      </w:r>
    </w:p>
    <w:p>
      <w:pPr>
        <w:pStyle w:val="4"/>
        <w:pageBreakBefore w:val="0"/>
        <w:kinsoku/>
        <w:overflowPunct/>
        <w:autoSpaceDE/>
        <w:autoSpaceDN/>
        <w:bidi w:val="0"/>
        <w:adjustRightInd w:val="0"/>
        <w:snapToGrid w:val="0"/>
        <w:spacing w:line="500" w:lineRule="exact"/>
        <w:rPr>
          <w:rFonts w:hint="eastAsia"/>
        </w:rPr>
      </w:pPr>
      <w:r>
        <w:rPr>
          <w:rFonts w:hint="eastAsia"/>
        </w:rPr>
        <w:t>表三：单位支出总体情况表</w:t>
      </w:r>
    </w:p>
    <w:p>
      <w:pPr>
        <w:pStyle w:val="4"/>
        <w:pageBreakBefore w:val="0"/>
        <w:kinsoku/>
        <w:overflowPunct/>
        <w:autoSpaceDE/>
        <w:autoSpaceDN/>
        <w:bidi w:val="0"/>
        <w:adjustRightInd w:val="0"/>
        <w:snapToGrid w:val="0"/>
        <w:spacing w:line="500" w:lineRule="exact"/>
        <w:rPr>
          <w:rFonts w:hint="eastAsia"/>
        </w:rPr>
      </w:pPr>
      <w:r>
        <w:rPr>
          <w:rFonts w:hint="eastAsia"/>
        </w:rPr>
        <w:t>表四：财政拨款收支总体情况表</w:t>
      </w:r>
    </w:p>
    <w:p>
      <w:pPr>
        <w:pStyle w:val="4"/>
        <w:pageBreakBefore w:val="0"/>
        <w:kinsoku/>
        <w:overflowPunct/>
        <w:autoSpaceDE/>
        <w:autoSpaceDN/>
        <w:bidi w:val="0"/>
        <w:adjustRightInd w:val="0"/>
        <w:snapToGrid w:val="0"/>
        <w:spacing w:line="500" w:lineRule="exact"/>
        <w:rPr>
          <w:rFonts w:hint="eastAsia"/>
        </w:rPr>
      </w:pPr>
      <w:r>
        <w:rPr>
          <w:rFonts w:hint="eastAsia"/>
        </w:rPr>
        <w:t>表五：一般公共预算支出情况表</w:t>
      </w:r>
    </w:p>
    <w:p>
      <w:pPr>
        <w:pStyle w:val="4"/>
        <w:pageBreakBefore w:val="0"/>
        <w:kinsoku/>
        <w:overflowPunct/>
        <w:autoSpaceDE/>
        <w:autoSpaceDN/>
        <w:bidi w:val="0"/>
        <w:adjustRightInd w:val="0"/>
        <w:snapToGrid w:val="0"/>
        <w:spacing w:line="500" w:lineRule="exact"/>
        <w:rPr>
          <w:rFonts w:hint="eastAsia"/>
        </w:rPr>
      </w:pPr>
      <w:r>
        <w:rPr>
          <w:rFonts w:hint="eastAsia"/>
        </w:rPr>
        <w:t>表六：一般公共预算基本支出情况表</w:t>
      </w:r>
    </w:p>
    <w:p>
      <w:pPr>
        <w:pStyle w:val="4"/>
        <w:keepNext/>
        <w:keepLines/>
        <w:pageBreakBefore w:val="0"/>
        <w:widowControl w:val="0"/>
        <w:kinsoku/>
        <w:wordWrap/>
        <w:overflowPunct/>
        <w:topLinePunct w:val="0"/>
        <w:autoSpaceDE/>
        <w:autoSpaceDN/>
        <w:bidi w:val="0"/>
        <w:adjustRightInd w:val="0"/>
        <w:snapToGrid w:val="0"/>
        <w:spacing w:line="500" w:lineRule="exact"/>
        <w:ind w:right="-327" w:rightChars="-100"/>
        <w:textAlignment w:val="auto"/>
        <w:rPr>
          <w:rFonts w:hint="eastAsia"/>
        </w:rPr>
      </w:pPr>
      <w:r>
        <w:rPr>
          <w:rFonts w:hint="eastAsia"/>
        </w:rPr>
        <w:t>表七：财政拨款“三公”经费、会议费和培训费支出情况表</w:t>
      </w:r>
    </w:p>
    <w:p>
      <w:pPr>
        <w:pStyle w:val="4"/>
        <w:pageBreakBefore w:val="0"/>
        <w:kinsoku/>
        <w:overflowPunct/>
        <w:autoSpaceDE/>
        <w:autoSpaceDN/>
        <w:bidi w:val="0"/>
        <w:adjustRightInd w:val="0"/>
        <w:snapToGrid w:val="0"/>
        <w:spacing w:line="500" w:lineRule="exact"/>
        <w:rPr>
          <w:rFonts w:hint="eastAsia"/>
        </w:rPr>
      </w:pPr>
      <w:r>
        <w:rPr>
          <w:rFonts w:hint="eastAsia"/>
        </w:rPr>
        <w:t>表八：政府性基金预算支出情况表</w:t>
      </w:r>
    </w:p>
    <w:p>
      <w:pPr>
        <w:pStyle w:val="4"/>
        <w:pageBreakBefore w:val="0"/>
        <w:kinsoku/>
        <w:overflowPunct/>
        <w:autoSpaceDE/>
        <w:autoSpaceDN/>
        <w:bidi w:val="0"/>
        <w:adjustRightInd w:val="0"/>
        <w:snapToGrid w:val="0"/>
        <w:spacing w:line="500" w:lineRule="exact"/>
        <w:rPr>
          <w:rFonts w:hint="eastAsia"/>
        </w:rPr>
      </w:pPr>
      <w:r>
        <w:rPr>
          <w:rFonts w:hint="eastAsia"/>
        </w:rPr>
        <w:t>表九：国有资本经营预算支出情况表</w:t>
      </w:r>
    </w:p>
    <w:p>
      <w:pPr>
        <w:pStyle w:val="4"/>
        <w:pageBreakBefore w:val="0"/>
        <w:kinsoku/>
        <w:overflowPunct/>
        <w:autoSpaceDE/>
        <w:autoSpaceDN/>
        <w:bidi w:val="0"/>
        <w:adjustRightInd w:val="0"/>
        <w:snapToGrid w:val="0"/>
        <w:spacing w:line="500" w:lineRule="exact"/>
        <w:rPr>
          <w:rFonts w:hint="eastAsia"/>
        </w:rPr>
      </w:pPr>
      <w:r>
        <w:rPr>
          <w:rFonts w:hint="eastAsia"/>
        </w:rPr>
        <w:t>表十：项目绩效目标公开表</w:t>
      </w:r>
    </w:p>
    <w:p>
      <w:pPr>
        <w:pStyle w:val="4"/>
        <w:pageBreakBefore w:val="0"/>
        <w:kinsoku/>
        <w:overflowPunct/>
        <w:autoSpaceDE/>
        <w:autoSpaceDN/>
        <w:bidi w:val="0"/>
        <w:adjustRightInd w:val="0"/>
        <w:snapToGrid w:val="0"/>
        <w:spacing w:line="500" w:lineRule="exact"/>
        <w:rPr>
          <w:rFonts w:hint="eastAsia"/>
        </w:rPr>
      </w:pPr>
      <w:r>
        <w:rPr>
          <w:rFonts w:hint="eastAsia"/>
        </w:rPr>
        <w:t>表十一：对下转移支付项目绩效目标公开表</w:t>
      </w:r>
    </w:p>
    <w:p>
      <w:pPr>
        <w:pageBreakBefore w:val="0"/>
        <w:kinsoku/>
        <w:overflowPunct/>
        <w:autoSpaceDE/>
        <w:autoSpaceDN/>
        <w:bidi w:val="0"/>
        <w:adjustRightInd w:val="0"/>
        <w:snapToGrid w:val="0"/>
        <w:spacing w:line="500" w:lineRule="exact"/>
        <w:ind w:right="-340" w:rightChars="-104" w:firstLine="654" w:firstLineChars="200"/>
        <w:rPr>
          <w:rFonts w:hint="eastAsia" w:ascii="黑体" w:hAnsi="宋体" w:eastAsia="黑体"/>
          <w:bCs/>
          <w:szCs w:val="32"/>
        </w:rPr>
      </w:pPr>
    </w:p>
    <w:p>
      <w:pPr>
        <w:pStyle w:val="5"/>
        <w:pageBreakBefore w:val="0"/>
        <w:kinsoku/>
        <w:overflowPunct/>
        <w:autoSpaceDE/>
        <w:autoSpaceDN/>
        <w:bidi w:val="0"/>
        <w:adjustRightInd w:val="0"/>
        <w:snapToGrid w:val="0"/>
        <w:spacing w:line="500" w:lineRule="exact"/>
        <w:rPr>
          <w:rFonts w:hint="eastAsia"/>
        </w:rPr>
      </w:pPr>
      <w:r>
        <w:rPr>
          <w:rFonts w:hint="eastAsia"/>
        </w:rPr>
        <w:t>第一部分：</w:t>
      </w:r>
      <w:r>
        <w:rPr>
          <w:rFonts w:hint="eastAsia"/>
          <w:lang w:eastAsia="zh-CN"/>
        </w:rPr>
        <w:t>单位</w:t>
      </w:r>
      <w:r>
        <w:rPr>
          <w:rFonts w:hint="eastAsia"/>
        </w:rPr>
        <w:t>概况</w:t>
      </w:r>
    </w:p>
    <w:p>
      <w:pPr>
        <w:pStyle w:val="6"/>
        <w:pageBreakBefore w:val="0"/>
        <w:kinsoku/>
        <w:overflowPunct/>
        <w:autoSpaceDE/>
        <w:autoSpaceDN/>
        <w:bidi w:val="0"/>
        <w:adjustRightInd w:val="0"/>
        <w:snapToGrid w:val="0"/>
        <w:spacing w:line="500" w:lineRule="exact"/>
        <w:rPr>
          <w:rFonts w:hint="eastAsia"/>
        </w:rPr>
      </w:pPr>
      <w:r>
        <w:rPr>
          <w:rFonts w:hint="eastAsia"/>
        </w:rPr>
        <w:t>一、主要职责</w:t>
      </w:r>
    </w:p>
    <w:p>
      <w:pPr>
        <w:pageBreakBefore w:val="0"/>
        <w:kinsoku/>
        <w:overflowPunct/>
        <w:autoSpaceDE/>
        <w:autoSpaceDN/>
        <w:bidi w:val="0"/>
        <w:adjustRightInd w:val="0"/>
        <w:snapToGrid w:val="0"/>
        <w:spacing w:line="500" w:lineRule="exact"/>
        <w:rPr>
          <w:rFonts w:hint="eastAsia"/>
          <w:lang w:eastAsia="zh-CN"/>
        </w:rPr>
      </w:pPr>
      <w:r>
        <w:rPr>
          <w:rFonts w:hint="eastAsia"/>
          <w:lang w:eastAsia="zh-CN"/>
        </w:rPr>
        <w:t>（一）根据上级部门要求参与拟订自治区地质勘查中长期规划、行业政策和技术规范；拟订单位的中长期发展目标，完善单位管理制度，并组织实施。</w:t>
      </w:r>
    </w:p>
    <w:p>
      <w:pPr>
        <w:pageBreakBefore w:val="0"/>
        <w:kinsoku/>
        <w:overflowPunct/>
        <w:autoSpaceDE/>
        <w:autoSpaceDN/>
        <w:bidi w:val="0"/>
        <w:adjustRightInd w:val="0"/>
        <w:snapToGrid w:val="0"/>
        <w:spacing w:line="500" w:lineRule="exact"/>
        <w:rPr>
          <w:rFonts w:hint="eastAsia"/>
          <w:lang w:eastAsia="zh-CN"/>
        </w:rPr>
      </w:pPr>
      <w:r>
        <w:rPr>
          <w:rFonts w:hint="eastAsia"/>
          <w:lang w:eastAsia="zh-CN"/>
        </w:rPr>
        <w:t>（二）按照《中华人民共和国矿产资源法》和国家及自治区其他有关法律、法规、政策的规定，整合全队资源提升地质勘查一体化综合服务能力，从事地质勘查、工程勘察、测绘地理信息、国土空间规划（含全域土地综合整治、生态修复）、地灾评估、岩土治理与试验、工程检测、环境工程（含污染防治）等工作，开拓大地质市场和矿产资源市场，为自然资源开发利用、乡村振兴、防灾减灾、生态文明与工程建设等提供技术服务和为自治区经济腾飞提供资源保证。</w:t>
      </w:r>
    </w:p>
    <w:p>
      <w:pPr>
        <w:pageBreakBefore w:val="0"/>
        <w:kinsoku/>
        <w:overflowPunct/>
        <w:autoSpaceDE/>
        <w:autoSpaceDN/>
        <w:bidi w:val="0"/>
        <w:adjustRightInd w:val="0"/>
        <w:snapToGrid w:val="0"/>
        <w:spacing w:line="500" w:lineRule="exact"/>
        <w:rPr>
          <w:rFonts w:hint="eastAsia"/>
          <w:lang w:eastAsia="zh-CN"/>
        </w:rPr>
      </w:pPr>
      <w:r>
        <w:rPr>
          <w:rFonts w:hint="eastAsia"/>
          <w:lang w:eastAsia="zh-CN"/>
        </w:rPr>
        <w:t>（三）负责单位各种来源资金的使用、管理，注重资金使用的经济效益和社会效益。</w:t>
      </w:r>
    </w:p>
    <w:p>
      <w:pPr>
        <w:pageBreakBefore w:val="0"/>
        <w:kinsoku/>
        <w:overflowPunct/>
        <w:autoSpaceDE/>
        <w:autoSpaceDN/>
        <w:bidi w:val="0"/>
        <w:adjustRightInd w:val="0"/>
        <w:snapToGrid w:val="0"/>
        <w:spacing w:line="500" w:lineRule="exact"/>
        <w:rPr>
          <w:rFonts w:hint="eastAsia"/>
          <w:lang w:eastAsia="zh-CN"/>
        </w:rPr>
      </w:pPr>
      <w:r>
        <w:rPr>
          <w:rFonts w:hint="eastAsia"/>
          <w:lang w:eastAsia="zh-CN"/>
        </w:rPr>
        <w:t>（四）确保上级部门授权管理的国有资产保值增值。</w:t>
      </w:r>
    </w:p>
    <w:p>
      <w:pPr>
        <w:pageBreakBefore w:val="0"/>
        <w:kinsoku/>
        <w:overflowPunct/>
        <w:autoSpaceDE/>
        <w:autoSpaceDN/>
        <w:bidi w:val="0"/>
        <w:adjustRightInd w:val="0"/>
        <w:snapToGrid w:val="0"/>
        <w:spacing w:line="500" w:lineRule="exact"/>
        <w:rPr>
          <w:rFonts w:hint="eastAsia"/>
          <w:lang w:eastAsia="zh-CN"/>
        </w:rPr>
      </w:pPr>
      <w:r>
        <w:rPr>
          <w:rFonts w:hint="eastAsia"/>
          <w:lang w:eastAsia="zh-CN"/>
        </w:rPr>
        <w:t>（五）加强单位队伍建设，保持队伍稳定，提高队伍素质和职工物质文化生活水平。</w:t>
      </w:r>
    </w:p>
    <w:p>
      <w:pPr>
        <w:pageBreakBefore w:val="0"/>
        <w:kinsoku/>
        <w:overflowPunct/>
        <w:autoSpaceDE/>
        <w:autoSpaceDN/>
        <w:bidi w:val="0"/>
        <w:adjustRightInd w:val="0"/>
        <w:snapToGrid w:val="0"/>
        <w:spacing w:line="500" w:lineRule="exact"/>
        <w:rPr>
          <w:rFonts w:hint="eastAsia"/>
        </w:rPr>
      </w:pPr>
      <w:r>
        <w:rPr>
          <w:rFonts w:hint="eastAsia"/>
          <w:lang w:eastAsia="zh-CN"/>
        </w:rPr>
        <w:t>（六）承办上级部门交办的其他事项。</w:t>
      </w:r>
    </w:p>
    <w:p>
      <w:pPr>
        <w:pStyle w:val="6"/>
        <w:pageBreakBefore w:val="0"/>
        <w:kinsoku/>
        <w:overflowPunct/>
        <w:autoSpaceDE/>
        <w:autoSpaceDN/>
        <w:bidi w:val="0"/>
        <w:adjustRightInd w:val="0"/>
        <w:snapToGrid w:val="0"/>
        <w:spacing w:line="500" w:lineRule="exact"/>
        <w:rPr>
          <w:rFonts w:hint="eastAsia"/>
        </w:rPr>
      </w:pPr>
      <w:r>
        <w:rPr>
          <w:rFonts w:hint="eastAsia"/>
        </w:rPr>
        <w:t>二、机构设置情况</w:t>
      </w:r>
    </w:p>
    <w:p>
      <w:pPr>
        <w:pageBreakBefore w:val="0"/>
        <w:tabs>
          <w:tab w:val="center" w:pos="4475"/>
        </w:tabs>
        <w:kinsoku/>
        <w:overflowPunct/>
        <w:autoSpaceDE/>
        <w:autoSpaceDN/>
        <w:bidi w:val="0"/>
        <w:adjustRightInd w:val="0"/>
        <w:snapToGrid w:val="0"/>
        <w:spacing w:line="500" w:lineRule="exact"/>
        <w:ind w:firstLine="645"/>
        <w:rPr>
          <w:rFonts w:hint="eastAsia"/>
          <w:lang w:eastAsia="zh-CN"/>
        </w:rPr>
      </w:pPr>
      <w:r>
        <w:rPr>
          <w:rFonts w:hint="eastAsia"/>
          <w:lang w:eastAsia="zh-CN"/>
        </w:rPr>
        <w:t>广西壮族自治区二七二地质队隶属于广西壮族自治区地质矿产勘查开发局，为一家拥有地质勘查、工程勘察、测绘地理信息、岩土工程设计等多专业多资质的区直公益二类事业单位。本单位设置有10个职能部门：党委办公室、行政办公室、宣传科、人事科、财务科、数字信息与保密办公室、物业与退休服务科、总工办公室、安全生产科、经济发展科；16个生产经营部门：地质勘查分院、工程勘察分院、岩土工程分院、测绘地理信息分院、国土空间规划分院、梧州粤桂分院、北部湾分院、地质灾害防治分院、环境工程分院、地球物理勘察分院、工程检测分院、岩溶地质分院、乡村振兴分院、生态修复分院、土工试验室、广西有色地质中学。</w:t>
      </w:r>
    </w:p>
    <w:p>
      <w:pPr>
        <w:pageBreakBefore w:val="0"/>
        <w:tabs>
          <w:tab w:val="center" w:pos="4475"/>
        </w:tabs>
        <w:kinsoku/>
        <w:overflowPunct/>
        <w:autoSpaceDE/>
        <w:autoSpaceDN/>
        <w:bidi w:val="0"/>
        <w:adjustRightInd w:val="0"/>
        <w:snapToGrid w:val="0"/>
        <w:spacing w:line="500" w:lineRule="exact"/>
        <w:ind w:firstLine="645"/>
        <w:rPr>
          <w:rFonts w:hint="eastAsia"/>
          <w:lang w:eastAsia="zh-CN"/>
        </w:rPr>
      </w:pPr>
      <w:r>
        <w:rPr>
          <w:rFonts w:hint="eastAsia"/>
          <w:lang w:eastAsia="zh-CN"/>
        </w:rPr>
        <w:t>202</w:t>
      </w:r>
      <w:r>
        <w:rPr>
          <w:rFonts w:hint="eastAsia"/>
          <w:lang w:val="en-US" w:eastAsia="zh-CN"/>
        </w:rPr>
        <w:t>5</w:t>
      </w:r>
      <w:r>
        <w:rPr>
          <w:rFonts w:hint="eastAsia"/>
          <w:lang w:eastAsia="zh-CN"/>
        </w:rPr>
        <w:t>年7月末（2025年单位预算编制人数），全队在职人员编制数227人，编制内实有在职人数17</w:t>
      </w:r>
      <w:r>
        <w:rPr>
          <w:rFonts w:hint="eastAsia"/>
          <w:lang w:val="en-US" w:eastAsia="zh-CN"/>
        </w:rPr>
        <w:t>6</w:t>
      </w:r>
      <w:r>
        <w:rPr>
          <w:rFonts w:hint="eastAsia"/>
          <w:lang w:eastAsia="zh-CN"/>
        </w:rPr>
        <w:t>人，</w:t>
      </w:r>
      <w:r>
        <w:rPr>
          <w:rFonts w:hint="eastAsia"/>
          <w:lang w:val="en-US" w:eastAsia="zh-CN"/>
        </w:rPr>
        <w:t>较上年同期增加4</w:t>
      </w:r>
      <w:r>
        <w:rPr>
          <w:rFonts w:hint="eastAsia"/>
          <w:lang w:eastAsia="zh-CN"/>
        </w:rPr>
        <w:t>人。离退休职工</w:t>
      </w:r>
      <w:r>
        <w:rPr>
          <w:rFonts w:hint="eastAsia"/>
          <w:lang w:val="en-US" w:eastAsia="zh-CN"/>
        </w:rPr>
        <w:t>359</w:t>
      </w:r>
      <w:r>
        <w:rPr>
          <w:rFonts w:hint="eastAsia"/>
          <w:lang w:eastAsia="zh-CN"/>
        </w:rPr>
        <w:t>人，同比</w:t>
      </w:r>
      <w:r>
        <w:rPr>
          <w:rFonts w:hint="eastAsia"/>
          <w:lang w:val="en-US" w:eastAsia="zh-CN"/>
        </w:rPr>
        <w:t>减少12</w:t>
      </w:r>
      <w:r>
        <w:rPr>
          <w:rFonts w:hint="eastAsia"/>
          <w:lang w:eastAsia="zh-CN"/>
        </w:rPr>
        <w:t>人，其中：离休人员0人，退休人员</w:t>
      </w:r>
      <w:r>
        <w:rPr>
          <w:rFonts w:hint="eastAsia"/>
          <w:lang w:val="en-US" w:eastAsia="zh-CN"/>
        </w:rPr>
        <w:t>359</w:t>
      </w:r>
      <w:r>
        <w:rPr>
          <w:rFonts w:hint="eastAsia"/>
          <w:lang w:eastAsia="zh-CN"/>
        </w:rPr>
        <w:t>人。全队编入预算的编外在职人数</w:t>
      </w:r>
      <w:r>
        <w:rPr>
          <w:rFonts w:hint="eastAsia"/>
          <w:lang w:val="en-US" w:eastAsia="zh-CN"/>
        </w:rPr>
        <w:t>11</w:t>
      </w:r>
      <w:r>
        <w:rPr>
          <w:rFonts w:hint="eastAsia"/>
          <w:lang w:eastAsia="zh-CN"/>
        </w:rPr>
        <w:t>人（</w:t>
      </w:r>
      <w:r>
        <w:rPr>
          <w:rFonts w:hint="eastAsia"/>
          <w:lang w:val="en-US" w:eastAsia="zh-CN"/>
        </w:rPr>
        <w:t>全部为</w:t>
      </w:r>
      <w:r>
        <w:rPr>
          <w:rFonts w:hint="eastAsia"/>
          <w:lang w:eastAsia="zh-CN"/>
        </w:rPr>
        <w:t>单位外聘人员）。外聘人员主要是编外大中专毕业生或长期聘用人员，从事的工作在队本级和学校且发生的各种费用纳入部门决算的人员。外聘人员经费由单位事业收入和其他收入列支，不纳入财政</w:t>
      </w:r>
      <w:bookmarkStart w:id="0" w:name="_GoBack"/>
      <w:bookmarkEnd w:id="0"/>
      <w:r>
        <w:rPr>
          <w:rFonts w:hint="eastAsia"/>
          <w:lang w:eastAsia="zh-CN"/>
        </w:rPr>
        <w:t>拨款。我队的人员编制数和供养人数严格执行国家和自治区的相关规定，不存在超编情况。</w:t>
      </w:r>
    </w:p>
    <w:p>
      <w:pPr>
        <w:pageBreakBefore w:val="0"/>
        <w:kinsoku/>
        <w:overflowPunct/>
        <w:autoSpaceDE/>
        <w:autoSpaceDN/>
        <w:bidi w:val="0"/>
        <w:adjustRightInd w:val="0"/>
        <w:snapToGrid w:val="0"/>
        <w:spacing w:line="500" w:lineRule="exact"/>
        <w:rPr>
          <w:rFonts w:hint="eastAsia"/>
          <w:lang w:eastAsia="zh-CN"/>
        </w:rPr>
      </w:pPr>
    </w:p>
    <w:p>
      <w:pPr>
        <w:pStyle w:val="5"/>
        <w:pageBreakBefore w:val="0"/>
        <w:kinsoku/>
        <w:overflowPunct/>
        <w:autoSpaceDE/>
        <w:autoSpaceDN/>
        <w:bidi w:val="0"/>
        <w:adjustRightInd w:val="0"/>
        <w:snapToGrid w:val="0"/>
        <w:spacing w:line="500" w:lineRule="exact"/>
        <w:rPr>
          <w:rFonts w:hint="eastAsia"/>
        </w:rPr>
      </w:pPr>
      <w:r>
        <w:rPr>
          <w:rFonts w:hint="eastAsia"/>
        </w:rPr>
        <w:t>第二部分：广西壮族自治区二七二地质队2026年单位预算情况说明</w:t>
      </w:r>
    </w:p>
    <w:p>
      <w:pPr>
        <w:pStyle w:val="6"/>
        <w:pageBreakBefore w:val="0"/>
        <w:kinsoku/>
        <w:overflowPunct/>
        <w:autoSpaceDE/>
        <w:autoSpaceDN/>
        <w:bidi w:val="0"/>
        <w:adjustRightInd w:val="0"/>
        <w:snapToGrid w:val="0"/>
        <w:spacing w:line="500" w:lineRule="exact"/>
        <w:rPr>
          <w:rFonts w:hint="eastAsia"/>
        </w:rPr>
      </w:pPr>
      <w:r>
        <w:rPr>
          <w:rFonts w:hint="eastAsia"/>
          <w:lang w:val="en-US" w:eastAsia="zh-CN"/>
        </w:rPr>
        <w:t>一、</w:t>
      </w:r>
      <w:r>
        <w:rPr>
          <w:rFonts w:hint="eastAsia"/>
        </w:rPr>
        <w:t>单位预算收支增减变化情况说明</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收支总</w:t>
      </w:r>
      <w:r>
        <w:rPr>
          <w:rFonts w:hint="eastAsia"/>
          <w:color w:val="auto"/>
        </w:rPr>
        <w:t>预算</w:t>
      </w:r>
      <w:r>
        <w:rPr>
          <w:rFonts w:hint="eastAsia"/>
          <w:color w:val="auto"/>
          <w:lang w:val="en-US" w:eastAsia="zh-CN"/>
        </w:rPr>
        <w:t>4995.76</w:t>
      </w:r>
      <w:r>
        <w:rPr>
          <w:rFonts w:hint="eastAsia"/>
          <w:color w:val="auto"/>
        </w:rPr>
        <w:t>万元（不含财政拨款上年未列支结转收支数），同比</w:t>
      </w:r>
      <w:r>
        <w:rPr>
          <w:rFonts w:hint="eastAsia"/>
          <w:color w:val="auto"/>
          <w:lang w:val="en-US" w:eastAsia="zh-CN"/>
        </w:rPr>
        <w:t>增加110.77</w:t>
      </w:r>
      <w:r>
        <w:rPr>
          <w:rFonts w:hint="eastAsia"/>
          <w:color w:val="auto"/>
        </w:rPr>
        <w:t>万元，</w:t>
      </w:r>
      <w:r>
        <w:rPr>
          <w:rFonts w:hint="eastAsia"/>
          <w:color w:val="auto"/>
          <w:lang w:val="en-US" w:eastAsia="zh-CN"/>
        </w:rPr>
        <w:t>增长2.27</w:t>
      </w:r>
      <w:r>
        <w:rPr>
          <w:rFonts w:hint="eastAsia"/>
          <w:color w:val="auto"/>
        </w:rPr>
        <w:t>%。</w:t>
      </w:r>
      <w:r>
        <w:rPr>
          <w:rFonts w:hint="eastAsia"/>
          <w:color w:val="auto"/>
          <w:lang w:val="en-US" w:eastAsia="zh-CN"/>
        </w:rPr>
        <w:t>增长</w:t>
      </w:r>
      <w:r>
        <w:rPr>
          <w:rFonts w:hint="eastAsia"/>
          <w:color w:val="auto"/>
        </w:rPr>
        <w:t>的原因主要是：在职</w:t>
      </w:r>
      <w:r>
        <w:rPr>
          <w:rFonts w:hint="eastAsia"/>
          <w:color w:val="auto"/>
          <w:lang w:val="en-US" w:eastAsia="zh-CN"/>
        </w:rPr>
        <w:t>在编</w:t>
      </w:r>
      <w:r>
        <w:rPr>
          <w:rFonts w:hint="eastAsia"/>
          <w:color w:val="auto"/>
        </w:rPr>
        <w:t>人数</w:t>
      </w:r>
      <w:r>
        <w:rPr>
          <w:rFonts w:hint="eastAsia"/>
          <w:color w:val="auto"/>
          <w:lang w:val="en-US" w:eastAsia="zh-CN"/>
        </w:rPr>
        <w:t>增加、</w:t>
      </w:r>
      <w:r>
        <w:rPr>
          <w:rFonts w:hint="eastAsia"/>
          <w:color w:val="auto"/>
        </w:rPr>
        <w:t>在职</w:t>
      </w:r>
      <w:r>
        <w:rPr>
          <w:rFonts w:hint="eastAsia"/>
          <w:color w:val="auto"/>
          <w:lang w:val="en-US" w:eastAsia="zh-CN"/>
        </w:rPr>
        <w:t>在编人员工资标准略有提高</w:t>
      </w:r>
      <w:r>
        <w:rPr>
          <w:rFonts w:hint="eastAsia"/>
          <w:color w:val="auto"/>
        </w:rPr>
        <w:t>；地质矿产勘查项目经费</w:t>
      </w:r>
      <w:r>
        <w:rPr>
          <w:rFonts w:hint="eastAsia"/>
          <w:color w:val="auto"/>
          <w:lang w:val="en-US" w:eastAsia="zh-CN"/>
        </w:rPr>
        <w:t>较2025年有所增加，所以2026年单位收支预算较去年有所增长</w:t>
      </w:r>
      <w:r>
        <w:rPr>
          <w:rFonts w:hint="eastAsia"/>
          <w:color w:val="auto"/>
        </w:rPr>
        <w:t>。</w:t>
      </w:r>
    </w:p>
    <w:p>
      <w:pPr>
        <w:pStyle w:val="6"/>
        <w:pageBreakBefore w:val="0"/>
        <w:kinsoku/>
        <w:overflowPunct/>
        <w:autoSpaceDE/>
        <w:autoSpaceDN/>
        <w:bidi w:val="0"/>
        <w:adjustRightInd w:val="0"/>
        <w:snapToGrid w:val="0"/>
        <w:spacing w:line="500" w:lineRule="exact"/>
        <w:rPr>
          <w:rFonts w:hint="eastAsia"/>
        </w:rPr>
      </w:pPr>
      <w:r>
        <w:rPr>
          <w:rFonts w:hint="eastAsia"/>
        </w:rPr>
        <w:t>二、单位预算收入总体情况说明</w:t>
      </w:r>
    </w:p>
    <w:p>
      <w:pPr>
        <w:pageBreakBefore w:val="0"/>
        <w:kinsoku/>
        <w:overflowPunct/>
        <w:autoSpaceDE/>
        <w:autoSpaceDN/>
        <w:bidi w:val="0"/>
        <w:adjustRightInd w:val="0"/>
        <w:snapToGrid w:val="0"/>
        <w:spacing w:line="500" w:lineRule="exact"/>
        <w:rPr>
          <w:rFonts w:hint="eastAsia"/>
          <w:color w:val="auto"/>
          <w:highlight w:val="none"/>
        </w:rPr>
      </w:pPr>
      <w:r>
        <w:rPr>
          <w:rFonts w:hint="eastAsia"/>
          <w:color w:val="auto"/>
          <w:highlight w:val="none"/>
        </w:rPr>
        <w:t>202</w:t>
      </w:r>
      <w:r>
        <w:rPr>
          <w:rFonts w:hint="eastAsia"/>
          <w:color w:val="auto"/>
          <w:highlight w:val="none"/>
          <w:lang w:val="en-US" w:eastAsia="zh-CN"/>
        </w:rPr>
        <w:t>6</w:t>
      </w:r>
      <w:r>
        <w:rPr>
          <w:rFonts w:hint="eastAsia"/>
          <w:color w:val="auto"/>
          <w:highlight w:val="none"/>
        </w:rPr>
        <w:t>年预算总收入</w:t>
      </w:r>
      <w:r>
        <w:rPr>
          <w:rFonts w:hint="eastAsia"/>
          <w:color w:val="auto"/>
          <w:highlight w:val="none"/>
          <w:lang w:val="en-US" w:eastAsia="zh-CN"/>
        </w:rPr>
        <w:t>4995.76</w:t>
      </w:r>
      <w:r>
        <w:rPr>
          <w:rFonts w:hint="eastAsia"/>
          <w:color w:val="auto"/>
          <w:highlight w:val="none"/>
        </w:rPr>
        <w:t>万元，同比增加110.77万元，增长2.27%。其中一般预算拨款</w:t>
      </w:r>
      <w:r>
        <w:rPr>
          <w:rFonts w:hint="eastAsia"/>
          <w:color w:val="auto"/>
          <w:highlight w:val="none"/>
          <w:lang w:val="en-US" w:eastAsia="zh-CN"/>
        </w:rPr>
        <w:t>2197.07</w:t>
      </w:r>
      <w:r>
        <w:rPr>
          <w:rFonts w:hint="eastAsia"/>
          <w:color w:val="auto"/>
          <w:highlight w:val="none"/>
        </w:rPr>
        <w:t>万元，同比增加</w:t>
      </w:r>
      <w:r>
        <w:rPr>
          <w:rFonts w:hint="eastAsia"/>
          <w:color w:val="auto"/>
          <w:highlight w:val="none"/>
          <w:lang w:val="en-US" w:eastAsia="zh-CN"/>
        </w:rPr>
        <w:t>89.81</w:t>
      </w:r>
      <w:r>
        <w:rPr>
          <w:rFonts w:hint="eastAsia"/>
          <w:color w:val="auto"/>
          <w:highlight w:val="none"/>
        </w:rPr>
        <w:t>万元，增长</w:t>
      </w:r>
      <w:r>
        <w:rPr>
          <w:rFonts w:hint="eastAsia"/>
          <w:color w:val="auto"/>
          <w:highlight w:val="none"/>
          <w:lang w:val="en-US" w:eastAsia="zh-CN"/>
        </w:rPr>
        <w:t>4.26</w:t>
      </w:r>
      <w:r>
        <w:rPr>
          <w:rFonts w:hint="eastAsia"/>
          <w:color w:val="auto"/>
          <w:highlight w:val="none"/>
        </w:rPr>
        <w:t>%，主要原因是今年我单位在职在编人数增加、在职在编人员工资标准略有提高</w:t>
      </w:r>
      <w:r>
        <w:rPr>
          <w:rFonts w:hint="eastAsia"/>
          <w:color w:val="auto"/>
          <w:highlight w:val="none"/>
          <w:lang w:eastAsia="zh-CN"/>
        </w:rPr>
        <w:t>，地质矿产勘查项目经费相较2025年有所增加</w:t>
      </w:r>
      <w:r>
        <w:rPr>
          <w:rFonts w:hint="eastAsia"/>
          <w:color w:val="auto"/>
          <w:highlight w:val="none"/>
        </w:rPr>
        <w:t>；</w:t>
      </w:r>
      <w:r>
        <w:rPr>
          <w:rFonts w:hint="eastAsia"/>
          <w:color w:val="auto"/>
          <w:highlight w:val="none"/>
          <w:lang w:val="en-US" w:eastAsia="zh-CN"/>
        </w:rPr>
        <w:t>单位资金</w:t>
      </w:r>
      <w:r>
        <w:rPr>
          <w:rFonts w:hint="eastAsia"/>
          <w:color w:val="auto"/>
          <w:highlight w:val="none"/>
        </w:rPr>
        <w:t>收入2,7</w:t>
      </w:r>
      <w:r>
        <w:rPr>
          <w:rFonts w:hint="eastAsia"/>
          <w:color w:val="auto"/>
          <w:highlight w:val="none"/>
          <w:lang w:val="en-US" w:eastAsia="zh-CN"/>
        </w:rPr>
        <w:t>98.69</w:t>
      </w:r>
      <w:r>
        <w:rPr>
          <w:rFonts w:hint="eastAsia"/>
          <w:color w:val="auto"/>
          <w:highlight w:val="none"/>
        </w:rPr>
        <w:t>万元，同比</w:t>
      </w:r>
      <w:r>
        <w:rPr>
          <w:rFonts w:hint="eastAsia"/>
          <w:color w:val="auto"/>
          <w:highlight w:val="none"/>
          <w:lang w:val="en-US" w:eastAsia="zh-CN"/>
        </w:rPr>
        <w:t>增加20.96</w:t>
      </w:r>
      <w:r>
        <w:rPr>
          <w:rFonts w:hint="eastAsia"/>
          <w:color w:val="auto"/>
          <w:highlight w:val="none"/>
        </w:rPr>
        <w:t>万元，</w:t>
      </w:r>
      <w:r>
        <w:rPr>
          <w:rFonts w:hint="eastAsia"/>
          <w:color w:val="auto"/>
          <w:highlight w:val="none"/>
          <w:lang w:val="en-US" w:eastAsia="zh-CN"/>
        </w:rPr>
        <w:t>增长0.75</w:t>
      </w:r>
      <w:r>
        <w:rPr>
          <w:rFonts w:hint="eastAsia"/>
          <w:color w:val="auto"/>
          <w:highlight w:val="none"/>
        </w:rPr>
        <w:t>%，主要原因是单位事业收入预测</w:t>
      </w:r>
      <w:r>
        <w:rPr>
          <w:rFonts w:hint="eastAsia"/>
          <w:color w:val="auto"/>
          <w:highlight w:val="none"/>
          <w:lang w:val="en-US" w:eastAsia="zh-CN"/>
        </w:rPr>
        <w:t>有所增加</w:t>
      </w:r>
      <w:r>
        <w:rPr>
          <w:rFonts w:hint="eastAsia"/>
          <w:color w:val="auto"/>
          <w:highlight w:val="none"/>
        </w:rPr>
        <w:t>。</w:t>
      </w:r>
    </w:p>
    <w:p>
      <w:pPr>
        <w:pStyle w:val="6"/>
        <w:pageBreakBefore w:val="0"/>
        <w:kinsoku/>
        <w:overflowPunct/>
        <w:autoSpaceDE/>
        <w:autoSpaceDN/>
        <w:bidi w:val="0"/>
        <w:adjustRightInd w:val="0"/>
        <w:snapToGrid w:val="0"/>
        <w:spacing w:line="500" w:lineRule="exact"/>
        <w:rPr>
          <w:rFonts w:hint="eastAsia"/>
        </w:rPr>
      </w:pPr>
      <w:r>
        <w:rPr>
          <w:rFonts w:hint="eastAsia"/>
        </w:rPr>
        <w:t>三、单位预算支出总体情况说明</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2026年预算总支出4995</w:t>
      </w:r>
      <w:r>
        <w:rPr>
          <w:rFonts w:hint="eastAsia"/>
          <w:color w:val="auto"/>
          <w:lang w:val="en-US" w:eastAsia="zh-CN"/>
        </w:rPr>
        <w:t>.</w:t>
      </w:r>
      <w:r>
        <w:rPr>
          <w:rFonts w:hint="eastAsia"/>
          <w:color w:val="auto"/>
        </w:rPr>
        <w:t>7</w:t>
      </w:r>
      <w:r>
        <w:rPr>
          <w:rFonts w:hint="eastAsia"/>
          <w:color w:val="auto"/>
          <w:lang w:val="en-US" w:eastAsia="zh-CN"/>
        </w:rPr>
        <w:t>6</w:t>
      </w:r>
      <w:r>
        <w:rPr>
          <w:rFonts w:hint="eastAsia"/>
          <w:color w:val="auto"/>
        </w:rPr>
        <w:t>万元，同比增加</w:t>
      </w:r>
      <w:r>
        <w:rPr>
          <w:rFonts w:hint="eastAsia"/>
          <w:color w:val="auto"/>
          <w:lang w:val="en-US" w:eastAsia="zh-CN"/>
        </w:rPr>
        <w:t>110.77</w:t>
      </w:r>
      <w:r>
        <w:rPr>
          <w:rFonts w:hint="eastAsia"/>
          <w:color w:val="auto"/>
        </w:rPr>
        <w:t>万元，增长</w:t>
      </w:r>
      <w:r>
        <w:rPr>
          <w:rFonts w:hint="eastAsia"/>
          <w:color w:val="auto"/>
          <w:lang w:val="en-US" w:eastAsia="zh-CN"/>
        </w:rPr>
        <w:t>2.27</w:t>
      </w:r>
      <w:r>
        <w:rPr>
          <w:rFonts w:hint="eastAsia"/>
          <w:color w:val="auto"/>
        </w:rPr>
        <w:t>%。增长原因主要是：</w:t>
      </w:r>
      <w:r>
        <w:rPr>
          <w:rFonts w:hint="eastAsia"/>
          <w:color w:val="auto"/>
          <w:lang w:val="en-US" w:eastAsia="zh-CN"/>
        </w:rPr>
        <w:t>在编人员增加、人员职级晋升等政策性增资、地质矿产勘查项目预算增加</w:t>
      </w:r>
      <w:r>
        <w:rPr>
          <w:rFonts w:hint="eastAsia"/>
          <w:color w:val="auto"/>
        </w:rPr>
        <w:t>。</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（一）总支出分类情况说明</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1.按支出功能分类科目划分，共分为四类，其中：</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（1）资源勘探工业信息等支出类科目支出</w:t>
      </w:r>
      <w:r>
        <w:rPr>
          <w:rFonts w:hint="eastAsia"/>
          <w:color w:val="auto"/>
          <w:lang w:val="en-US" w:eastAsia="zh-CN"/>
        </w:rPr>
        <w:t>3988.41</w:t>
      </w:r>
      <w:r>
        <w:rPr>
          <w:rFonts w:hint="eastAsia"/>
          <w:color w:val="auto"/>
        </w:rPr>
        <w:t>万元，占本年支出预算</w:t>
      </w:r>
      <w:r>
        <w:rPr>
          <w:rFonts w:hint="eastAsia"/>
          <w:color w:val="auto"/>
          <w:lang w:val="en-US" w:eastAsia="zh-CN"/>
        </w:rPr>
        <w:t>79.84</w:t>
      </w:r>
      <w:r>
        <w:rPr>
          <w:rFonts w:hint="eastAsia"/>
          <w:color w:val="auto"/>
        </w:rPr>
        <w:t>％，同比减少</w:t>
      </w:r>
      <w:r>
        <w:rPr>
          <w:rFonts w:hint="eastAsia"/>
          <w:color w:val="auto"/>
          <w:lang w:val="en-US" w:eastAsia="zh-CN"/>
        </w:rPr>
        <w:t>306.89</w:t>
      </w:r>
      <w:r>
        <w:rPr>
          <w:rFonts w:hint="eastAsia"/>
          <w:color w:val="auto"/>
        </w:rPr>
        <w:t>万元，下降</w:t>
      </w:r>
      <w:r>
        <w:rPr>
          <w:rFonts w:hint="eastAsia"/>
          <w:color w:val="auto"/>
          <w:lang w:val="en-US" w:eastAsia="zh-CN"/>
        </w:rPr>
        <w:t>7.14</w:t>
      </w:r>
      <w:r>
        <w:rPr>
          <w:rFonts w:hint="eastAsia"/>
          <w:color w:val="auto"/>
        </w:rPr>
        <w:t>％。</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（2）社会保障和就业支出类科目支出</w:t>
      </w:r>
      <w:r>
        <w:rPr>
          <w:rFonts w:hint="eastAsia"/>
          <w:color w:val="auto"/>
          <w:lang w:val="en-US" w:eastAsia="zh-CN"/>
        </w:rPr>
        <w:t>813.58</w:t>
      </w:r>
      <w:r>
        <w:rPr>
          <w:rFonts w:hint="eastAsia"/>
          <w:color w:val="auto"/>
        </w:rPr>
        <w:t>万元，占本年支出预算</w:t>
      </w:r>
      <w:r>
        <w:rPr>
          <w:rFonts w:hint="eastAsia"/>
          <w:color w:val="auto"/>
          <w:lang w:val="en-US" w:eastAsia="zh-CN"/>
        </w:rPr>
        <w:t>16.29</w:t>
      </w:r>
      <w:r>
        <w:rPr>
          <w:rFonts w:hint="eastAsia"/>
          <w:color w:val="auto"/>
        </w:rPr>
        <w:t>％，同比增加</w:t>
      </w:r>
      <w:r>
        <w:rPr>
          <w:rFonts w:hint="eastAsia"/>
          <w:color w:val="auto"/>
          <w:lang w:val="en-US" w:eastAsia="zh-CN"/>
        </w:rPr>
        <w:t>409.00</w:t>
      </w:r>
      <w:r>
        <w:rPr>
          <w:rFonts w:hint="eastAsia"/>
          <w:color w:val="auto"/>
        </w:rPr>
        <w:t>万元，增长</w:t>
      </w:r>
      <w:r>
        <w:rPr>
          <w:rFonts w:hint="eastAsia"/>
          <w:color w:val="auto"/>
          <w:lang w:val="en-US" w:eastAsia="zh-CN"/>
        </w:rPr>
        <w:t>101.09</w:t>
      </w:r>
      <w:r>
        <w:rPr>
          <w:rFonts w:hint="eastAsia"/>
          <w:color w:val="auto"/>
        </w:rPr>
        <w:t>％。</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（3）卫生健康支出类科目支出</w:t>
      </w:r>
      <w:r>
        <w:rPr>
          <w:rFonts w:hint="eastAsia"/>
          <w:color w:val="auto"/>
          <w:lang w:val="en-US" w:eastAsia="zh-CN"/>
        </w:rPr>
        <w:t>73.91</w:t>
      </w:r>
      <w:r>
        <w:rPr>
          <w:rFonts w:hint="eastAsia"/>
          <w:color w:val="auto"/>
        </w:rPr>
        <w:t>万元，占本年支出预算1.</w:t>
      </w:r>
      <w:r>
        <w:rPr>
          <w:rFonts w:hint="eastAsia"/>
          <w:color w:val="auto"/>
          <w:lang w:val="en-US" w:eastAsia="zh-CN"/>
        </w:rPr>
        <w:t>47</w:t>
      </w:r>
      <w:r>
        <w:rPr>
          <w:rFonts w:hint="eastAsia"/>
          <w:color w:val="auto"/>
        </w:rPr>
        <w:t>％，同比增加</w:t>
      </w:r>
      <w:r>
        <w:rPr>
          <w:rFonts w:hint="eastAsia"/>
          <w:color w:val="auto"/>
          <w:lang w:val="en-US" w:eastAsia="zh-CN"/>
        </w:rPr>
        <w:t>3.30</w:t>
      </w:r>
      <w:r>
        <w:rPr>
          <w:rFonts w:hint="eastAsia"/>
          <w:color w:val="auto"/>
        </w:rPr>
        <w:t>万元，增长</w:t>
      </w:r>
      <w:r>
        <w:rPr>
          <w:rFonts w:hint="eastAsia"/>
          <w:color w:val="auto"/>
          <w:lang w:val="en-US" w:eastAsia="zh-CN"/>
        </w:rPr>
        <w:t>4.67</w:t>
      </w:r>
      <w:r>
        <w:rPr>
          <w:rFonts w:hint="eastAsia"/>
          <w:color w:val="auto"/>
        </w:rPr>
        <w:t>％。</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（4）住房保障支出类科目支出</w:t>
      </w:r>
      <w:r>
        <w:rPr>
          <w:rFonts w:hint="eastAsia"/>
          <w:color w:val="auto"/>
          <w:lang w:val="en-US" w:eastAsia="zh-CN"/>
        </w:rPr>
        <w:t>119.85</w:t>
      </w:r>
      <w:r>
        <w:rPr>
          <w:rFonts w:hint="eastAsia"/>
          <w:color w:val="auto"/>
        </w:rPr>
        <w:t>万元，占本年支出预算</w:t>
      </w:r>
      <w:r>
        <w:rPr>
          <w:rFonts w:hint="eastAsia"/>
          <w:color w:val="auto"/>
          <w:lang w:val="en-US" w:eastAsia="zh-CN"/>
        </w:rPr>
        <w:t>2.40</w:t>
      </w:r>
      <w:r>
        <w:rPr>
          <w:rFonts w:hint="eastAsia"/>
          <w:color w:val="auto"/>
        </w:rPr>
        <w:t>％，同比增加</w:t>
      </w:r>
      <w:r>
        <w:rPr>
          <w:rFonts w:hint="eastAsia"/>
          <w:color w:val="auto"/>
          <w:lang w:val="en-US" w:eastAsia="zh-CN"/>
        </w:rPr>
        <w:t>5.35</w:t>
      </w:r>
      <w:r>
        <w:rPr>
          <w:rFonts w:hint="eastAsia"/>
          <w:color w:val="auto"/>
        </w:rPr>
        <w:t>万元，增长</w:t>
      </w:r>
      <w:r>
        <w:rPr>
          <w:rFonts w:hint="eastAsia"/>
          <w:color w:val="auto"/>
          <w:lang w:val="en-US" w:eastAsia="zh-CN"/>
        </w:rPr>
        <w:t>4.67</w:t>
      </w:r>
      <w:r>
        <w:rPr>
          <w:rFonts w:hint="eastAsia"/>
          <w:color w:val="auto"/>
        </w:rPr>
        <w:t>％。</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2.按支出结构分类划分，分为基本支出预算和项目支出预算。</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（1）基本支出预算</w:t>
      </w:r>
      <w:r>
        <w:rPr>
          <w:rFonts w:hint="eastAsia"/>
          <w:color w:val="auto"/>
          <w:lang w:val="en-US" w:eastAsia="zh-CN"/>
        </w:rPr>
        <w:t>2537.95</w:t>
      </w:r>
      <w:r>
        <w:rPr>
          <w:rFonts w:hint="eastAsia"/>
          <w:color w:val="auto"/>
        </w:rPr>
        <w:t>万元，占本年支出预算</w:t>
      </w:r>
      <w:r>
        <w:rPr>
          <w:rFonts w:hint="eastAsia"/>
          <w:color w:val="auto"/>
          <w:lang w:val="en-US" w:eastAsia="zh-CN"/>
        </w:rPr>
        <w:t>50.80</w:t>
      </w:r>
      <w:r>
        <w:rPr>
          <w:rFonts w:hint="eastAsia"/>
          <w:color w:val="auto"/>
        </w:rPr>
        <w:t>％，同比增加</w:t>
      </w:r>
      <w:r>
        <w:rPr>
          <w:rFonts w:hint="eastAsia"/>
          <w:color w:val="auto"/>
          <w:lang w:val="en-US" w:eastAsia="zh-CN"/>
        </w:rPr>
        <w:t>117.66</w:t>
      </w:r>
      <w:r>
        <w:rPr>
          <w:rFonts w:hint="eastAsia"/>
          <w:color w:val="auto"/>
        </w:rPr>
        <w:t>万元，增长</w:t>
      </w:r>
      <w:r>
        <w:rPr>
          <w:rFonts w:hint="eastAsia"/>
          <w:color w:val="auto"/>
          <w:lang w:val="en-US" w:eastAsia="zh-CN"/>
        </w:rPr>
        <w:t>4.86</w:t>
      </w:r>
      <w:r>
        <w:rPr>
          <w:rFonts w:hint="eastAsia"/>
          <w:color w:val="auto"/>
        </w:rPr>
        <w:t>％。</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（2）项目支出预算</w:t>
      </w:r>
      <w:r>
        <w:rPr>
          <w:rFonts w:hint="eastAsia"/>
          <w:color w:val="auto"/>
          <w:lang w:val="en-US" w:eastAsia="zh-CN"/>
        </w:rPr>
        <w:t>2457.81</w:t>
      </w:r>
      <w:r>
        <w:rPr>
          <w:rFonts w:hint="eastAsia"/>
          <w:color w:val="auto"/>
        </w:rPr>
        <w:t>万元，占本年支出预算</w:t>
      </w:r>
      <w:r>
        <w:rPr>
          <w:rFonts w:hint="eastAsia"/>
          <w:color w:val="auto"/>
          <w:lang w:val="en-US" w:eastAsia="zh-CN"/>
        </w:rPr>
        <w:t>49.20</w:t>
      </w:r>
      <w:r>
        <w:rPr>
          <w:rFonts w:hint="eastAsia"/>
          <w:color w:val="auto"/>
        </w:rPr>
        <w:t>％，同比</w:t>
      </w:r>
      <w:r>
        <w:rPr>
          <w:rFonts w:hint="eastAsia"/>
          <w:color w:val="auto"/>
          <w:lang w:val="en-US" w:eastAsia="zh-CN"/>
        </w:rPr>
        <w:t>减少6.89</w:t>
      </w:r>
      <w:r>
        <w:rPr>
          <w:rFonts w:hint="eastAsia"/>
          <w:color w:val="auto"/>
        </w:rPr>
        <w:t>万元，</w:t>
      </w:r>
      <w:r>
        <w:rPr>
          <w:rFonts w:hint="eastAsia"/>
          <w:color w:val="auto"/>
          <w:lang w:val="en-US" w:eastAsia="zh-CN"/>
        </w:rPr>
        <w:t>下降0.28</w:t>
      </w:r>
      <w:r>
        <w:rPr>
          <w:rFonts w:hint="eastAsia"/>
          <w:color w:val="auto"/>
        </w:rPr>
        <w:t>％。</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（二）财政拨款收支总体情况说明</w:t>
      </w:r>
    </w:p>
    <w:p>
      <w:pPr>
        <w:pageBreakBefore w:val="0"/>
        <w:kinsoku/>
        <w:overflowPunct/>
        <w:autoSpaceDE/>
        <w:autoSpaceDN/>
        <w:bidi w:val="0"/>
        <w:adjustRightInd w:val="0"/>
        <w:snapToGrid w:val="0"/>
        <w:spacing w:line="500" w:lineRule="exact"/>
        <w:rPr>
          <w:rFonts w:hint="eastAsia"/>
          <w:color w:val="4874CB" w:themeColor="accent1"/>
          <w14:textFill>
            <w14:solidFill>
              <w14:schemeClr w14:val="accent1"/>
            </w14:solidFill>
          </w14:textFill>
        </w:rPr>
      </w:pPr>
      <w:r>
        <w:rPr>
          <w:rFonts w:hint="eastAsia"/>
          <w:color w:val="auto"/>
        </w:rPr>
        <w:t>2026年财政拨款收支总预算</w:t>
      </w:r>
      <w:r>
        <w:rPr>
          <w:rFonts w:hint="eastAsia"/>
          <w:color w:val="auto"/>
          <w:lang w:val="en-US" w:eastAsia="zh-CN"/>
        </w:rPr>
        <w:t>2197.07</w:t>
      </w:r>
      <w:r>
        <w:rPr>
          <w:rFonts w:hint="eastAsia"/>
          <w:color w:val="auto"/>
        </w:rPr>
        <w:t>万元，同比增加</w:t>
      </w:r>
      <w:r>
        <w:rPr>
          <w:rFonts w:hint="eastAsia"/>
          <w:color w:val="auto"/>
          <w:lang w:val="en-US" w:eastAsia="zh-CN"/>
        </w:rPr>
        <w:t>89.81</w:t>
      </w:r>
      <w:r>
        <w:rPr>
          <w:rFonts w:hint="eastAsia"/>
          <w:color w:val="auto"/>
        </w:rPr>
        <w:t>万元，增长</w:t>
      </w:r>
      <w:r>
        <w:rPr>
          <w:rFonts w:hint="eastAsia"/>
          <w:color w:val="auto"/>
          <w:lang w:val="en-US" w:eastAsia="zh-CN"/>
        </w:rPr>
        <w:t>4.26</w:t>
      </w:r>
      <w:r>
        <w:rPr>
          <w:rFonts w:hint="eastAsia"/>
          <w:color w:val="auto"/>
        </w:rPr>
        <w:t>%。增长原因主要是：在编人员增加、人员职级晋升等政策性增资、地质矿产勘查项目预算增加</w:t>
      </w:r>
      <w:r>
        <w:rPr>
          <w:rFonts w:hint="eastAsia"/>
          <w:color w:val="4874CB" w:themeColor="accent1"/>
          <w14:textFill>
            <w14:solidFill>
              <w14:schemeClr w14:val="accent1"/>
            </w14:solidFill>
          </w14:textFill>
        </w:rPr>
        <w:t>。</w:t>
      </w:r>
      <w:r>
        <w:rPr>
          <w:rFonts w:hint="eastAsia"/>
          <w:color w:val="auto"/>
        </w:rPr>
        <w:t>收入全部为一般公共预算拨款，支出包括</w:t>
      </w:r>
      <w:r>
        <w:rPr>
          <w:rFonts w:hint="eastAsia"/>
          <w:color w:val="auto"/>
          <w:lang w:eastAsia="zh-CN"/>
        </w:rPr>
        <w:t>：</w:t>
      </w:r>
      <w:r>
        <w:rPr>
          <w:rFonts w:hint="eastAsia"/>
          <w:color w:val="auto"/>
        </w:rPr>
        <w:t>资源勘探工业信息等支出</w:t>
      </w:r>
      <w:r>
        <w:rPr>
          <w:rFonts w:hint="eastAsia"/>
          <w:color w:val="auto"/>
          <w:lang w:val="en-US" w:eastAsia="zh-CN"/>
        </w:rPr>
        <w:t>1533.88</w:t>
      </w:r>
      <w:r>
        <w:rPr>
          <w:rFonts w:hint="eastAsia"/>
          <w:color w:val="auto"/>
        </w:rPr>
        <w:t>万元，占本年支出预算</w:t>
      </w:r>
      <w:r>
        <w:rPr>
          <w:rFonts w:hint="eastAsia"/>
          <w:color w:val="auto"/>
          <w:lang w:val="en-US" w:eastAsia="zh-CN"/>
        </w:rPr>
        <w:t>69.81</w:t>
      </w:r>
      <w:r>
        <w:rPr>
          <w:rFonts w:hint="eastAsia"/>
          <w:color w:val="auto"/>
        </w:rPr>
        <w:t>％，同比减少</w:t>
      </w:r>
      <w:r>
        <w:rPr>
          <w:rFonts w:hint="eastAsia"/>
          <w:color w:val="auto"/>
          <w:lang w:val="en-US" w:eastAsia="zh-CN"/>
        </w:rPr>
        <w:t>323.50</w:t>
      </w:r>
      <w:r>
        <w:rPr>
          <w:rFonts w:hint="eastAsia"/>
          <w:color w:val="auto"/>
        </w:rPr>
        <w:t>万元，下降</w:t>
      </w:r>
      <w:r>
        <w:rPr>
          <w:rFonts w:hint="eastAsia"/>
          <w:color w:val="auto"/>
          <w:lang w:val="en-US" w:eastAsia="zh-CN"/>
        </w:rPr>
        <w:t>17.42</w:t>
      </w:r>
      <w:r>
        <w:rPr>
          <w:rFonts w:hint="eastAsia"/>
          <w:color w:val="auto"/>
        </w:rPr>
        <w:t>％；社会保障和就业支出</w:t>
      </w:r>
      <w:r>
        <w:rPr>
          <w:rFonts w:hint="eastAsia"/>
          <w:color w:val="auto"/>
          <w:lang w:val="en-US" w:eastAsia="zh-CN"/>
        </w:rPr>
        <w:t>543.33</w:t>
      </w:r>
      <w:r>
        <w:rPr>
          <w:rFonts w:hint="eastAsia"/>
          <w:color w:val="auto"/>
        </w:rPr>
        <w:t>万元，占本年支出预算</w:t>
      </w:r>
      <w:r>
        <w:rPr>
          <w:rFonts w:hint="eastAsia"/>
          <w:color w:val="auto"/>
          <w:lang w:val="en-US" w:eastAsia="zh-CN"/>
        </w:rPr>
        <w:t>24.74</w:t>
      </w:r>
      <w:r>
        <w:rPr>
          <w:rFonts w:hint="eastAsia"/>
          <w:color w:val="auto"/>
        </w:rPr>
        <w:t>％</w:t>
      </w:r>
      <w:r>
        <w:rPr>
          <w:rFonts w:hint="eastAsia"/>
          <w:color w:val="4874CB" w:themeColor="accent1"/>
          <w14:textFill>
            <w14:solidFill>
              <w14:schemeClr w14:val="accent1"/>
            </w14:solidFill>
          </w14:textFill>
        </w:rPr>
        <w:t>，</w:t>
      </w:r>
      <w:r>
        <w:rPr>
          <w:rFonts w:hint="eastAsia"/>
          <w:color w:val="auto"/>
        </w:rPr>
        <w:t>同比增加</w:t>
      </w:r>
      <w:r>
        <w:rPr>
          <w:rFonts w:hint="eastAsia"/>
          <w:color w:val="auto"/>
          <w:lang w:val="en-US" w:eastAsia="zh-CN"/>
        </w:rPr>
        <w:t>407.95</w:t>
      </w:r>
      <w:r>
        <w:rPr>
          <w:rFonts w:hint="eastAsia"/>
          <w:color w:val="auto"/>
        </w:rPr>
        <w:t>万元，增长</w:t>
      </w:r>
      <w:r>
        <w:rPr>
          <w:rFonts w:hint="eastAsia"/>
          <w:color w:val="auto"/>
          <w:lang w:val="en-US" w:eastAsia="zh-CN"/>
        </w:rPr>
        <w:t>301.34</w:t>
      </w:r>
      <w:r>
        <w:rPr>
          <w:rFonts w:hint="eastAsia"/>
          <w:color w:val="auto"/>
        </w:rPr>
        <w:t>％；住房保障支出</w:t>
      </w:r>
      <w:r>
        <w:rPr>
          <w:rFonts w:hint="eastAsia"/>
          <w:color w:val="auto"/>
          <w:lang w:val="en-US" w:eastAsia="zh-CN"/>
        </w:rPr>
        <w:t>119.85</w:t>
      </w:r>
      <w:r>
        <w:rPr>
          <w:rFonts w:hint="eastAsia"/>
          <w:color w:val="auto"/>
        </w:rPr>
        <w:t>万元，占本年支出预算</w:t>
      </w:r>
      <w:r>
        <w:rPr>
          <w:rFonts w:hint="eastAsia"/>
          <w:color w:val="auto"/>
          <w:lang w:val="en-US" w:eastAsia="zh-CN"/>
        </w:rPr>
        <w:t>5.45</w:t>
      </w:r>
      <w:r>
        <w:rPr>
          <w:rFonts w:hint="eastAsia"/>
          <w:color w:val="auto"/>
        </w:rPr>
        <w:t>％，同比增加</w:t>
      </w:r>
      <w:r>
        <w:rPr>
          <w:rFonts w:hint="eastAsia"/>
          <w:color w:val="auto"/>
          <w:lang w:val="en-US" w:eastAsia="zh-CN"/>
        </w:rPr>
        <w:t>5.35</w:t>
      </w:r>
      <w:r>
        <w:rPr>
          <w:rFonts w:hint="eastAsia"/>
          <w:color w:val="auto"/>
        </w:rPr>
        <w:t>万元，增长</w:t>
      </w:r>
      <w:r>
        <w:rPr>
          <w:rFonts w:hint="eastAsia"/>
          <w:color w:val="auto"/>
          <w:lang w:val="en-US" w:eastAsia="zh-CN"/>
        </w:rPr>
        <w:t>4.67</w:t>
      </w:r>
      <w:r>
        <w:rPr>
          <w:rFonts w:hint="eastAsia"/>
          <w:color w:val="auto"/>
        </w:rPr>
        <w:t>％。</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（三）一般公共预算支出情况说明</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2026年一般公共预算拨款支出</w:t>
      </w:r>
      <w:r>
        <w:rPr>
          <w:rFonts w:hint="eastAsia"/>
          <w:color w:val="auto"/>
          <w:lang w:val="en-US" w:eastAsia="zh-CN"/>
        </w:rPr>
        <w:t>2197.07</w:t>
      </w:r>
      <w:r>
        <w:rPr>
          <w:rFonts w:hint="eastAsia"/>
          <w:color w:val="auto"/>
        </w:rPr>
        <w:t>万元，同比增加</w:t>
      </w:r>
      <w:r>
        <w:rPr>
          <w:rFonts w:hint="eastAsia"/>
          <w:color w:val="auto"/>
          <w:lang w:val="en-US" w:eastAsia="zh-CN"/>
        </w:rPr>
        <w:t>89.81</w:t>
      </w:r>
      <w:r>
        <w:rPr>
          <w:rFonts w:hint="eastAsia"/>
          <w:color w:val="auto"/>
        </w:rPr>
        <w:t>万元，增长</w:t>
      </w:r>
      <w:r>
        <w:rPr>
          <w:rFonts w:hint="eastAsia"/>
          <w:color w:val="auto"/>
          <w:lang w:val="en-US" w:eastAsia="zh-CN"/>
        </w:rPr>
        <w:t>4.26</w:t>
      </w:r>
      <w:r>
        <w:rPr>
          <w:rFonts w:hint="eastAsia"/>
          <w:color w:val="auto"/>
        </w:rPr>
        <w:t>%。其中，基本支出预算</w:t>
      </w:r>
      <w:r>
        <w:rPr>
          <w:rFonts w:hint="eastAsia"/>
          <w:color w:val="auto"/>
          <w:lang w:val="en-US" w:eastAsia="zh-CN"/>
        </w:rPr>
        <w:t>1443.84</w:t>
      </w:r>
      <w:r>
        <w:rPr>
          <w:rFonts w:hint="eastAsia"/>
          <w:color w:val="auto"/>
        </w:rPr>
        <w:t>万元，占本年支出预算</w:t>
      </w:r>
      <w:r>
        <w:rPr>
          <w:rFonts w:hint="eastAsia"/>
          <w:color w:val="auto"/>
          <w:lang w:val="en-US" w:eastAsia="zh-CN"/>
        </w:rPr>
        <w:t>65.72</w:t>
      </w:r>
      <w:r>
        <w:rPr>
          <w:rFonts w:hint="eastAsia"/>
          <w:color w:val="auto"/>
        </w:rPr>
        <w:t>%，同比</w:t>
      </w:r>
      <w:r>
        <w:rPr>
          <w:rFonts w:hint="eastAsia"/>
          <w:color w:val="auto"/>
          <w:lang w:val="en-US" w:eastAsia="zh-CN"/>
        </w:rPr>
        <w:t>增加31.02</w:t>
      </w:r>
      <w:r>
        <w:rPr>
          <w:rFonts w:hint="eastAsia"/>
          <w:color w:val="auto"/>
        </w:rPr>
        <w:t>万元，</w:t>
      </w:r>
      <w:r>
        <w:rPr>
          <w:rFonts w:hint="eastAsia"/>
          <w:color w:val="auto"/>
          <w:lang w:val="en-US" w:eastAsia="zh-CN"/>
        </w:rPr>
        <w:t>增长2.20</w:t>
      </w:r>
      <w:r>
        <w:rPr>
          <w:rFonts w:hint="eastAsia"/>
          <w:color w:val="auto"/>
        </w:rPr>
        <w:t>%；项目支出预算</w:t>
      </w:r>
      <w:r>
        <w:rPr>
          <w:rFonts w:hint="eastAsia"/>
          <w:color w:val="auto"/>
          <w:lang w:val="en-US" w:eastAsia="zh-CN"/>
        </w:rPr>
        <w:t>753.23</w:t>
      </w:r>
      <w:r>
        <w:rPr>
          <w:rFonts w:hint="eastAsia"/>
          <w:color w:val="auto"/>
        </w:rPr>
        <w:t>万元，占本年支出预算</w:t>
      </w:r>
      <w:r>
        <w:rPr>
          <w:rFonts w:hint="eastAsia"/>
          <w:color w:val="auto"/>
          <w:lang w:val="en-US" w:eastAsia="zh-CN"/>
        </w:rPr>
        <w:t>34.28</w:t>
      </w:r>
      <w:r>
        <w:rPr>
          <w:rFonts w:hint="eastAsia"/>
          <w:color w:val="auto"/>
        </w:rPr>
        <w:t>%，同比增加</w:t>
      </w:r>
      <w:r>
        <w:rPr>
          <w:rFonts w:hint="eastAsia"/>
          <w:color w:val="auto"/>
          <w:lang w:val="en-US" w:eastAsia="zh-CN"/>
        </w:rPr>
        <w:t>58.79</w:t>
      </w:r>
      <w:r>
        <w:rPr>
          <w:rFonts w:hint="eastAsia"/>
          <w:color w:val="auto"/>
        </w:rPr>
        <w:t>万元，增长</w:t>
      </w:r>
      <w:r>
        <w:rPr>
          <w:rFonts w:hint="eastAsia"/>
          <w:color w:val="auto"/>
          <w:lang w:val="en-US" w:eastAsia="zh-CN"/>
        </w:rPr>
        <w:t>8.47</w:t>
      </w:r>
      <w:r>
        <w:rPr>
          <w:rFonts w:hint="eastAsia"/>
          <w:color w:val="auto"/>
        </w:rPr>
        <w:t>%。增长原因主要是：在编人员增加、人员职级晋升等政策性增资、地质矿产勘查项目预算增加。具体支出预算如下：</w:t>
      </w:r>
    </w:p>
    <w:p>
      <w:pPr>
        <w:pageBreakBefore w:val="0"/>
        <w:kinsoku/>
        <w:overflowPunct/>
        <w:autoSpaceDE/>
        <w:autoSpaceDN/>
        <w:bidi w:val="0"/>
        <w:adjustRightInd w:val="0"/>
        <w:snapToGrid w:val="0"/>
        <w:spacing w:line="500" w:lineRule="exact"/>
        <w:rPr>
          <w:rFonts w:hint="eastAsia"/>
        </w:rPr>
      </w:pPr>
      <w:r>
        <w:rPr>
          <w:rFonts w:hint="eastAsia"/>
        </w:rPr>
        <w:t>1.</w:t>
      </w:r>
      <w:r>
        <w:rPr>
          <w:rFonts w:hint="eastAsia"/>
          <w:lang w:val="en-US" w:eastAsia="zh-CN"/>
        </w:rPr>
        <w:t>事业</w:t>
      </w:r>
      <w:r>
        <w:rPr>
          <w:rFonts w:hint="eastAsia"/>
        </w:rPr>
        <w:t>单位离退休</w:t>
      </w:r>
      <w:r>
        <w:rPr>
          <w:rFonts w:hint="eastAsia"/>
          <w:lang w:val="en-US" w:eastAsia="zh-CN"/>
        </w:rPr>
        <w:t>431.46</w:t>
      </w:r>
      <w:r>
        <w:rPr>
          <w:rFonts w:hint="eastAsia"/>
        </w:rPr>
        <w:t>万元，全部是基本支出预算。主要用于</w:t>
      </w:r>
      <w:r>
        <w:rPr>
          <w:rFonts w:hint="eastAsia"/>
          <w:lang w:val="en-US" w:eastAsia="zh-CN"/>
        </w:rPr>
        <w:t>支付</w:t>
      </w:r>
      <w:r>
        <w:rPr>
          <w:rFonts w:hint="eastAsia"/>
        </w:rPr>
        <w:t>事业单位离退休人员的经费支出。</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2.机关事业单位基本养老保险缴费支出</w:t>
      </w:r>
      <w:r>
        <w:rPr>
          <w:rFonts w:hint="eastAsia"/>
          <w:color w:val="auto"/>
          <w:lang w:val="en-US" w:eastAsia="zh-CN"/>
        </w:rPr>
        <w:t>111.86</w:t>
      </w:r>
      <w:r>
        <w:rPr>
          <w:rFonts w:hint="eastAsia"/>
          <w:color w:val="auto"/>
        </w:rPr>
        <w:t>万元，全部是基本支出预算。主要用于支付事业单位在职职工的单位养老保险费用。</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3.其他资源勘探业支出</w:t>
      </w:r>
      <w:r>
        <w:rPr>
          <w:rFonts w:hint="eastAsia"/>
          <w:color w:val="auto"/>
          <w:lang w:val="en-US" w:eastAsia="zh-CN"/>
        </w:rPr>
        <w:t>1533.88</w:t>
      </w:r>
      <w:r>
        <w:rPr>
          <w:rFonts w:hint="eastAsia"/>
          <w:color w:val="auto"/>
        </w:rPr>
        <w:t>万元。其中，基本支出预算</w:t>
      </w:r>
      <w:r>
        <w:rPr>
          <w:rFonts w:hint="eastAsia"/>
          <w:color w:val="auto"/>
          <w:lang w:val="en-US" w:eastAsia="zh-CN"/>
        </w:rPr>
        <w:t>780.65</w:t>
      </w:r>
      <w:r>
        <w:rPr>
          <w:rFonts w:hint="eastAsia"/>
          <w:color w:val="auto"/>
        </w:rPr>
        <w:t>万元，项目支出预算</w:t>
      </w:r>
      <w:r>
        <w:rPr>
          <w:rFonts w:hint="eastAsia"/>
          <w:color w:val="auto"/>
          <w:lang w:val="en-US" w:eastAsia="zh-CN"/>
        </w:rPr>
        <w:t>753.23</w:t>
      </w:r>
      <w:r>
        <w:rPr>
          <w:rFonts w:hint="eastAsia"/>
          <w:color w:val="auto"/>
        </w:rPr>
        <w:t>万元。主要用于除煤炭、石油和天然气、黑色金属、有色金属、非金属矿等以外其他用于资源勘探业方面的支出。</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4.住房公积金</w:t>
      </w:r>
      <w:r>
        <w:rPr>
          <w:rFonts w:hint="eastAsia"/>
          <w:color w:val="auto"/>
          <w:lang w:val="en-US" w:eastAsia="zh-CN"/>
        </w:rPr>
        <w:t>119.85</w:t>
      </w:r>
      <w:r>
        <w:rPr>
          <w:rFonts w:hint="eastAsia"/>
          <w:color w:val="auto"/>
        </w:rPr>
        <w:t>万元，全部是基本支出预算。是按照国家统一规定，按事业单位在职职工工资总额的规定比例缴纳的住房公积金。</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（四）一般公共预算基本支出情况说明</w:t>
      </w:r>
    </w:p>
    <w:p>
      <w:pPr>
        <w:pageBreakBefore w:val="0"/>
        <w:kinsoku/>
        <w:overflowPunct/>
        <w:autoSpaceDE/>
        <w:autoSpaceDN/>
        <w:bidi w:val="0"/>
        <w:adjustRightInd w:val="0"/>
        <w:snapToGrid w:val="0"/>
        <w:spacing w:line="500" w:lineRule="exact"/>
        <w:rPr>
          <w:rFonts w:hint="eastAsia"/>
          <w:color w:val="4874CB" w:themeColor="accent1"/>
          <w14:textFill>
            <w14:solidFill>
              <w14:schemeClr w14:val="accent1"/>
            </w14:solidFill>
          </w14:textFill>
        </w:rPr>
      </w:pPr>
      <w:r>
        <w:rPr>
          <w:rFonts w:hint="eastAsia"/>
          <w:color w:val="auto"/>
        </w:rPr>
        <w:t>2026年一般公共预算基本支出</w:t>
      </w:r>
      <w:r>
        <w:rPr>
          <w:rFonts w:hint="eastAsia"/>
          <w:color w:val="auto"/>
          <w:lang w:val="en-US" w:eastAsia="zh-CN"/>
        </w:rPr>
        <w:t>1443.84</w:t>
      </w:r>
      <w:r>
        <w:rPr>
          <w:rFonts w:hint="eastAsia"/>
          <w:color w:val="auto"/>
        </w:rPr>
        <w:t>万元，占本年支出预算</w:t>
      </w:r>
      <w:r>
        <w:rPr>
          <w:rFonts w:hint="eastAsia"/>
          <w:color w:val="auto"/>
          <w:lang w:val="en-US" w:eastAsia="zh-CN"/>
        </w:rPr>
        <w:t>65.72</w:t>
      </w:r>
      <w:r>
        <w:rPr>
          <w:rFonts w:hint="eastAsia"/>
          <w:color w:val="auto"/>
        </w:rPr>
        <w:t>%，同比</w:t>
      </w:r>
      <w:r>
        <w:rPr>
          <w:rFonts w:hint="eastAsia"/>
          <w:color w:val="auto"/>
          <w:lang w:val="en-US" w:eastAsia="zh-CN"/>
        </w:rPr>
        <w:t>增加31.02</w:t>
      </w:r>
      <w:r>
        <w:rPr>
          <w:rFonts w:hint="eastAsia"/>
          <w:color w:val="auto"/>
        </w:rPr>
        <w:t>万元，</w:t>
      </w:r>
      <w:r>
        <w:rPr>
          <w:rFonts w:hint="eastAsia"/>
          <w:color w:val="auto"/>
          <w:lang w:val="en-US" w:eastAsia="zh-CN"/>
        </w:rPr>
        <w:t>增长2.20</w:t>
      </w:r>
      <w:r>
        <w:rPr>
          <w:rFonts w:hint="eastAsia"/>
          <w:color w:val="auto"/>
        </w:rPr>
        <w:t>%；</w:t>
      </w:r>
      <w:r>
        <w:rPr>
          <w:rFonts w:hint="eastAsia"/>
          <w:color w:val="auto"/>
          <w:lang w:val="en-US" w:eastAsia="zh-CN"/>
        </w:rPr>
        <w:t>增长</w:t>
      </w:r>
      <w:r>
        <w:rPr>
          <w:rFonts w:hint="eastAsia"/>
          <w:color w:val="auto"/>
        </w:rPr>
        <w:t>原因主要是在职人员人数</w:t>
      </w:r>
      <w:r>
        <w:rPr>
          <w:rFonts w:hint="eastAsia"/>
          <w:color w:val="auto"/>
          <w:lang w:val="en-US" w:eastAsia="zh-CN"/>
        </w:rPr>
        <w:t>增加4</w:t>
      </w:r>
      <w:r>
        <w:rPr>
          <w:rFonts w:hint="eastAsia"/>
          <w:color w:val="auto"/>
        </w:rPr>
        <w:t>人</w:t>
      </w:r>
      <w:r>
        <w:rPr>
          <w:rFonts w:hint="eastAsia"/>
          <w:color w:val="auto"/>
          <w:lang w:eastAsia="zh-CN"/>
        </w:rPr>
        <w:t>，</w:t>
      </w:r>
      <w:r>
        <w:rPr>
          <w:rFonts w:hint="eastAsia"/>
          <w:color w:val="auto"/>
        </w:rPr>
        <w:t>人员职级晋升等政策性增资。其中：</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1.人员经费</w:t>
      </w:r>
      <w:r>
        <w:rPr>
          <w:rFonts w:hint="eastAsia"/>
          <w:color w:val="auto"/>
          <w:lang w:val="en-US" w:eastAsia="zh-CN"/>
        </w:rPr>
        <w:t>1379.34</w:t>
      </w:r>
      <w:r>
        <w:rPr>
          <w:rFonts w:hint="eastAsia"/>
          <w:color w:val="auto"/>
        </w:rPr>
        <w:t>万元，用于发放人员的基本工资、津贴补贴、奖金、机关事业单位基本养老保险缴费、其他社会保障缴费、住房公积金、退休费、其他对个人和家庭的补助等。</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2.公用经费</w:t>
      </w:r>
      <w:r>
        <w:rPr>
          <w:rFonts w:hint="eastAsia"/>
          <w:color w:val="auto"/>
          <w:lang w:val="en-US" w:eastAsia="zh-CN"/>
        </w:rPr>
        <w:t>64.49</w:t>
      </w:r>
      <w:r>
        <w:rPr>
          <w:rFonts w:hint="eastAsia"/>
          <w:color w:val="auto"/>
        </w:rPr>
        <w:t xml:space="preserve">万元，用于支付工会经费、其他商品和服务支出等。    </w:t>
      </w:r>
    </w:p>
    <w:p>
      <w:pPr>
        <w:pStyle w:val="6"/>
        <w:pageBreakBefore w:val="0"/>
        <w:kinsoku/>
        <w:overflowPunct/>
        <w:autoSpaceDE/>
        <w:autoSpaceDN/>
        <w:bidi w:val="0"/>
        <w:adjustRightInd w:val="0"/>
        <w:snapToGrid w:val="0"/>
        <w:spacing w:line="500" w:lineRule="exact"/>
        <w:rPr>
          <w:rFonts w:hint="eastAsia"/>
        </w:rPr>
      </w:pPr>
      <w:r>
        <w:rPr>
          <w:rFonts w:hint="eastAsia"/>
        </w:rPr>
        <w:t>四、政府性基金预算支出情况说明</w:t>
      </w:r>
    </w:p>
    <w:p>
      <w:pPr>
        <w:pageBreakBefore w:val="0"/>
        <w:kinsoku/>
        <w:overflowPunct/>
        <w:autoSpaceDE/>
        <w:autoSpaceDN/>
        <w:bidi w:val="0"/>
        <w:adjustRightInd w:val="0"/>
        <w:snapToGrid w:val="0"/>
        <w:spacing w:line="500" w:lineRule="exact"/>
        <w:rPr>
          <w:rFonts w:hint="eastAsia"/>
        </w:rPr>
      </w:pPr>
      <w:r>
        <w:rPr>
          <w:rFonts w:hint="eastAsia"/>
        </w:rPr>
        <w:t>我单位202</w:t>
      </w:r>
      <w:r>
        <w:rPr>
          <w:rFonts w:hint="eastAsia"/>
          <w:lang w:val="en-US" w:eastAsia="zh-CN"/>
        </w:rPr>
        <w:t>6</w:t>
      </w:r>
      <w:r>
        <w:rPr>
          <w:rFonts w:hint="eastAsia"/>
        </w:rPr>
        <w:t>年无政府性基金预算。</w:t>
      </w:r>
    </w:p>
    <w:p>
      <w:pPr>
        <w:pStyle w:val="6"/>
        <w:pageBreakBefore w:val="0"/>
        <w:kinsoku/>
        <w:overflowPunct/>
        <w:autoSpaceDE/>
        <w:autoSpaceDN/>
        <w:bidi w:val="0"/>
        <w:adjustRightInd w:val="0"/>
        <w:snapToGrid w:val="0"/>
        <w:spacing w:line="500" w:lineRule="exact"/>
        <w:rPr>
          <w:rFonts w:hint="eastAsia"/>
        </w:rPr>
      </w:pPr>
      <w:r>
        <w:rPr>
          <w:rFonts w:hint="eastAsia"/>
        </w:rPr>
        <w:t>五、国有资本经营预算支出情况说明</w:t>
      </w:r>
    </w:p>
    <w:p>
      <w:pPr>
        <w:pageBreakBefore w:val="0"/>
        <w:kinsoku/>
        <w:overflowPunct/>
        <w:autoSpaceDE/>
        <w:autoSpaceDN/>
        <w:bidi w:val="0"/>
        <w:adjustRightInd w:val="0"/>
        <w:snapToGrid w:val="0"/>
        <w:spacing w:line="500" w:lineRule="exact"/>
        <w:rPr>
          <w:rFonts w:hint="eastAsia"/>
        </w:rPr>
      </w:pPr>
      <w:r>
        <w:rPr>
          <w:rFonts w:hint="eastAsia"/>
        </w:rPr>
        <w:t>我单位202</w:t>
      </w:r>
      <w:r>
        <w:rPr>
          <w:rFonts w:hint="eastAsia"/>
          <w:lang w:val="en-US" w:eastAsia="zh-CN"/>
        </w:rPr>
        <w:t>6</w:t>
      </w:r>
      <w:r>
        <w:rPr>
          <w:rFonts w:hint="eastAsia"/>
        </w:rPr>
        <w:t>年无国有资本经营预算。</w:t>
      </w:r>
    </w:p>
    <w:p>
      <w:pPr>
        <w:pStyle w:val="6"/>
        <w:pageBreakBefore w:val="0"/>
        <w:kinsoku/>
        <w:overflowPunct/>
        <w:autoSpaceDE/>
        <w:autoSpaceDN/>
        <w:bidi w:val="0"/>
        <w:adjustRightInd w:val="0"/>
        <w:snapToGrid w:val="0"/>
        <w:spacing w:line="500" w:lineRule="exact"/>
        <w:rPr>
          <w:rFonts w:hint="eastAsia"/>
        </w:rPr>
      </w:pPr>
      <w:r>
        <w:rPr>
          <w:rFonts w:hint="eastAsia"/>
        </w:rPr>
        <w:t>六、一般公共预算“三公”经费支出情况说明</w:t>
      </w:r>
    </w:p>
    <w:p>
      <w:pPr>
        <w:pageBreakBefore w:val="0"/>
        <w:kinsoku/>
        <w:overflowPunct/>
        <w:autoSpaceDE/>
        <w:autoSpaceDN/>
        <w:bidi w:val="0"/>
        <w:adjustRightInd w:val="0"/>
        <w:snapToGrid w:val="0"/>
        <w:spacing w:line="500" w:lineRule="exact"/>
        <w:rPr>
          <w:rFonts w:hint="eastAsia"/>
        </w:rPr>
      </w:pPr>
      <w:r>
        <w:rPr>
          <w:rFonts w:hint="eastAsia"/>
        </w:rPr>
        <w:t>我单位202</w:t>
      </w:r>
      <w:r>
        <w:rPr>
          <w:rFonts w:hint="eastAsia"/>
          <w:lang w:val="en-US" w:eastAsia="zh-CN"/>
        </w:rPr>
        <w:t>6</w:t>
      </w:r>
      <w:r>
        <w:rPr>
          <w:rFonts w:hint="eastAsia"/>
        </w:rPr>
        <w:t>年无一般公共预算“三公”经费支出，同比</w:t>
      </w:r>
      <w:r>
        <w:rPr>
          <w:rFonts w:hint="eastAsia"/>
          <w:lang w:val="en-US" w:eastAsia="zh-CN"/>
        </w:rPr>
        <w:t>上</w:t>
      </w:r>
      <w:r>
        <w:rPr>
          <w:rFonts w:hint="eastAsia"/>
        </w:rPr>
        <w:t>年无一般公共预算“三公”经费支出。</w:t>
      </w:r>
    </w:p>
    <w:p>
      <w:pPr>
        <w:pStyle w:val="6"/>
        <w:pageBreakBefore w:val="0"/>
        <w:kinsoku/>
        <w:overflowPunct/>
        <w:autoSpaceDE/>
        <w:autoSpaceDN/>
        <w:bidi w:val="0"/>
        <w:adjustRightInd w:val="0"/>
        <w:snapToGrid w:val="0"/>
        <w:spacing w:line="500" w:lineRule="exact"/>
        <w:rPr>
          <w:rFonts w:hint="eastAsia"/>
        </w:rPr>
      </w:pPr>
      <w:r>
        <w:rPr>
          <w:rFonts w:hint="eastAsia"/>
        </w:rPr>
        <w:t>七、事业单位相关运行经费安排情况说明</w:t>
      </w:r>
    </w:p>
    <w:p>
      <w:pPr>
        <w:pageBreakBefore w:val="0"/>
        <w:kinsoku/>
        <w:overflowPunct/>
        <w:autoSpaceDE/>
        <w:autoSpaceDN/>
        <w:bidi w:val="0"/>
        <w:adjustRightInd w:val="0"/>
        <w:snapToGrid w:val="0"/>
        <w:spacing w:line="500" w:lineRule="exact"/>
        <w:rPr>
          <w:rFonts w:hint="eastAsia"/>
          <w:color w:val="auto"/>
        </w:rPr>
      </w:pPr>
      <w:r>
        <w:rPr>
          <w:rFonts w:hint="eastAsia"/>
          <w:color w:val="auto"/>
          <w:lang w:val="en-US" w:eastAsia="zh-CN"/>
        </w:rPr>
        <w:t>事业单位相关运行经费</w:t>
      </w:r>
      <w:r>
        <w:rPr>
          <w:rFonts w:hint="eastAsia"/>
          <w:color w:val="auto"/>
        </w:rPr>
        <w:t>主要用于保证我队管理部门正常运转和完成日常工作而发生的基本支出。如办公费、印刷费、水电费、培训费、差旅费、会议费、物业管理费、其他商品和服务支出等日常公用经费。全部为单位自筹资金安排。</w:t>
      </w:r>
      <w:r>
        <w:rPr>
          <w:rFonts w:hint="eastAsia"/>
          <w:color w:val="auto"/>
          <w:lang w:val="en-US" w:eastAsia="zh-CN"/>
        </w:rPr>
        <w:t>2026年我单位事业单位相关运行经费</w:t>
      </w:r>
      <w:r>
        <w:rPr>
          <w:rFonts w:hint="eastAsia"/>
          <w:color w:val="auto"/>
        </w:rPr>
        <w:t>343</w:t>
      </w:r>
      <w:r>
        <w:rPr>
          <w:rFonts w:hint="eastAsia"/>
          <w:color w:val="auto"/>
          <w:lang w:val="en-US" w:eastAsia="zh-CN"/>
        </w:rPr>
        <w:t>.55</w:t>
      </w:r>
      <w:r>
        <w:rPr>
          <w:rFonts w:hint="eastAsia"/>
          <w:color w:val="auto"/>
        </w:rPr>
        <w:t>万元，</w:t>
      </w:r>
      <w:r>
        <w:rPr>
          <w:rFonts w:hint="eastAsia"/>
          <w:color w:val="auto"/>
          <w:lang w:val="en-US" w:eastAsia="zh-CN"/>
        </w:rPr>
        <w:t>同比增加147.29万元，增长75.05%，增长的原因是2025年事业单位相关运行经费未包含单位食堂运转经费，且2026年基本支出公用经费新增残疾人保证金、党团工青妇活动经费和物业服务管理费。</w:t>
      </w:r>
    </w:p>
    <w:p>
      <w:pPr>
        <w:pStyle w:val="6"/>
        <w:pageBreakBefore w:val="0"/>
        <w:kinsoku/>
        <w:overflowPunct/>
        <w:autoSpaceDE/>
        <w:autoSpaceDN/>
        <w:bidi w:val="0"/>
        <w:adjustRightInd w:val="0"/>
        <w:snapToGrid w:val="0"/>
        <w:spacing w:line="500" w:lineRule="exact"/>
        <w:rPr>
          <w:rFonts w:hint="eastAsia"/>
        </w:rPr>
      </w:pPr>
      <w:r>
        <w:rPr>
          <w:rFonts w:hint="eastAsia"/>
        </w:rPr>
        <w:t>八、政府采购预算安排情况说明</w:t>
      </w:r>
    </w:p>
    <w:p>
      <w:pPr>
        <w:pageBreakBefore w:val="0"/>
        <w:kinsoku/>
        <w:overflowPunct/>
        <w:autoSpaceDE/>
        <w:autoSpaceDN/>
        <w:bidi w:val="0"/>
        <w:adjustRightInd w:val="0"/>
        <w:snapToGrid w:val="0"/>
        <w:spacing w:line="500" w:lineRule="exact"/>
        <w:rPr>
          <w:rFonts w:hint="eastAsia" w:eastAsia="仿宋_GB2312"/>
          <w:color w:val="auto"/>
          <w:lang w:eastAsia="zh-CN"/>
        </w:rPr>
      </w:pPr>
      <w:r>
        <w:rPr>
          <w:rFonts w:hint="eastAsia"/>
          <w:color w:val="auto"/>
          <w:lang w:val="en-US" w:eastAsia="zh-CN"/>
        </w:rPr>
        <w:t>2026</w:t>
      </w:r>
      <w:r>
        <w:rPr>
          <w:rFonts w:hint="eastAsia"/>
          <w:color w:val="auto"/>
        </w:rPr>
        <w:t>年政府采购预算</w:t>
      </w:r>
      <w:r>
        <w:rPr>
          <w:rFonts w:hint="eastAsia"/>
          <w:color w:val="auto"/>
          <w:lang w:val="en-US" w:eastAsia="zh-CN"/>
        </w:rPr>
        <w:t>4.11</w:t>
      </w:r>
      <w:r>
        <w:rPr>
          <w:rFonts w:hint="eastAsia"/>
          <w:color w:val="auto"/>
        </w:rPr>
        <w:t>万元，同比</w:t>
      </w:r>
      <w:r>
        <w:rPr>
          <w:rFonts w:hint="eastAsia"/>
          <w:color w:val="auto"/>
          <w:lang w:val="en-US" w:eastAsia="zh-CN"/>
        </w:rPr>
        <w:t>减少31.91</w:t>
      </w:r>
      <w:r>
        <w:rPr>
          <w:rFonts w:hint="eastAsia"/>
          <w:color w:val="auto"/>
        </w:rPr>
        <w:t>万元，</w:t>
      </w:r>
      <w:r>
        <w:rPr>
          <w:rFonts w:hint="eastAsia"/>
          <w:color w:val="auto"/>
          <w:lang w:val="en-US" w:eastAsia="zh-CN"/>
        </w:rPr>
        <w:t>下降88.60</w:t>
      </w:r>
      <w:r>
        <w:rPr>
          <w:rFonts w:hint="eastAsia"/>
          <w:color w:val="auto"/>
        </w:rPr>
        <w:t>%，其中：货物类采购预算</w:t>
      </w:r>
      <w:r>
        <w:rPr>
          <w:rFonts w:hint="eastAsia"/>
          <w:color w:val="auto"/>
          <w:lang w:val="en-US" w:eastAsia="zh-CN"/>
        </w:rPr>
        <w:t>0</w:t>
      </w:r>
      <w:r>
        <w:rPr>
          <w:rFonts w:hint="eastAsia"/>
          <w:color w:val="auto"/>
        </w:rPr>
        <w:t>万元，服务类采购预算</w:t>
      </w:r>
      <w:r>
        <w:rPr>
          <w:rFonts w:hint="eastAsia"/>
          <w:color w:val="auto"/>
          <w:lang w:val="en-US" w:eastAsia="zh-CN"/>
        </w:rPr>
        <w:t>4.11</w:t>
      </w:r>
      <w:r>
        <w:rPr>
          <w:rFonts w:hint="eastAsia"/>
          <w:color w:val="auto"/>
        </w:rPr>
        <w:t>万元，工程类采购预算0万元。</w:t>
      </w:r>
      <w:r>
        <w:rPr>
          <w:rFonts w:hint="eastAsia"/>
          <w:color w:val="auto"/>
          <w:lang w:val="en-US" w:eastAsia="zh-CN"/>
        </w:rPr>
        <w:t>减少</w:t>
      </w:r>
      <w:r>
        <w:rPr>
          <w:rFonts w:hint="eastAsia"/>
          <w:color w:val="auto"/>
        </w:rPr>
        <w:t>的主要原因是本年</w:t>
      </w:r>
      <w:r>
        <w:rPr>
          <w:rFonts w:hint="eastAsia"/>
          <w:color w:val="auto"/>
          <w:lang w:val="en-US" w:eastAsia="zh-CN"/>
        </w:rPr>
        <w:t>无</w:t>
      </w:r>
      <w:r>
        <w:rPr>
          <w:rFonts w:hint="eastAsia"/>
          <w:color w:val="auto"/>
        </w:rPr>
        <w:t>货物类采购预算</w:t>
      </w:r>
      <w:r>
        <w:rPr>
          <w:rFonts w:hint="eastAsia"/>
          <w:color w:val="auto"/>
          <w:lang w:eastAsia="zh-CN"/>
        </w:rPr>
        <w:t>。</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政府采购模式：集中采购预算</w:t>
      </w:r>
      <w:r>
        <w:rPr>
          <w:rFonts w:hint="eastAsia"/>
          <w:color w:val="auto"/>
          <w:lang w:val="en-US" w:eastAsia="zh-CN"/>
        </w:rPr>
        <w:t>4.11</w:t>
      </w:r>
      <w:r>
        <w:rPr>
          <w:rFonts w:hint="eastAsia"/>
          <w:color w:val="auto"/>
        </w:rPr>
        <w:t>万元，占政府采购预算100％，同比</w:t>
      </w:r>
      <w:r>
        <w:rPr>
          <w:rFonts w:hint="eastAsia"/>
          <w:color w:val="auto"/>
          <w:lang w:val="en-US" w:eastAsia="zh-CN"/>
        </w:rPr>
        <w:t>减少31.91</w:t>
      </w:r>
      <w:r>
        <w:rPr>
          <w:rFonts w:hint="eastAsia"/>
          <w:color w:val="auto"/>
        </w:rPr>
        <w:t>万元，</w:t>
      </w:r>
      <w:r>
        <w:rPr>
          <w:rFonts w:hint="eastAsia"/>
          <w:color w:val="auto"/>
          <w:lang w:val="en-US" w:eastAsia="zh-CN"/>
        </w:rPr>
        <w:t>下降88.60</w:t>
      </w:r>
      <w:r>
        <w:rPr>
          <w:rFonts w:hint="eastAsia"/>
          <w:color w:val="auto"/>
        </w:rPr>
        <w:t>%。</w:t>
      </w:r>
    </w:p>
    <w:p>
      <w:pPr>
        <w:pageBreakBefore w:val="0"/>
        <w:kinsoku/>
        <w:overflowPunct/>
        <w:autoSpaceDE/>
        <w:autoSpaceDN/>
        <w:bidi w:val="0"/>
        <w:adjustRightInd w:val="0"/>
        <w:snapToGrid w:val="0"/>
        <w:spacing w:line="500" w:lineRule="exact"/>
        <w:rPr>
          <w:rFonts w:hint="eastAsia"/>
          <w:color w:val="auto"/>
        </w:rPr>
      </w:pPr>
      <w:r>
        <w:rPr>
          <w:rFonts w:hint="eastAsia"/>
          <w:color w:val="auto"/>
        </w:rPr>
        <w:t>政府采购资金类型：一般公共预算拨款0万元，单位资金</w:t>
      </w:r>
      <w:r>
        <w:rPr>
          <w:rFonts w:hint="eastAsia"/>
          <w:color w:val="auto"/>
          <w:lang w:val="en-US" w:eastAsia="zh-CN"/>
        </w:rPr>
        <w:t>4.11</w:t>
      </w:r>
      <w:r>
        <w:rPr>
          <w:rFonts w:hint="eastAsia"/>
          <w:color w:val="auto"/>
        </w:rPr>
        <w:t>万元。</w:t>
      </w:r>
    </w:p>
    <w:p>
      <w:pPr>
        <w:pStyle w:val="6"/>
        <w:pageBreakBefore w:val="0"/>
        <w:kinsoku/>
        <w:overflowPunct/>
        <w:autoSpaceDE/>
        <w:autoSpaceDN/>
        <w:bidi w:val="0"/>
        <w:adjustRightInd w:val="0"/>
        <w:snapToGrid w:val="0"/>
        <w:spacing w:line="500" w:lineRule="exact"/>
        <w:rPr>
          <w:rFonts w:hint="eastAsia"/>
        </w:rPr>
      </w:pPr>
      <w:r>
        <w:rPr>
          <w:rFonts w:hint="eastAsia"/>
        </w:rPr>
        <w:t>九、国有资产占用情况说明</w:t>
      </w:r>
    </w:p>
    <w:p>
      <w:pPr>
        <w:pageBreakBefore w:val="0"/>
        <w:kinsoku/>
        <w:overflowPunct/>
        <w:autoSpaceDE/>
        <w:autoSpaceDN/>
        <w:bidi w:val="0"/>
        <w:adjustRightInd w:val="0"/>
        <w:snapToGrid w:val="0"/>
        <w:spacing w:line="500" w:lineRule="exact"/>
        <w:rPr>
          <w:rFonts w:hint="eastAsia"/>
        </w:rPr>
      </w:pPr>
      <w:r>
        <w:rPr>
          <w:rFonts w:hint="eastAsia"/>
        </w:rPr>
        <w:t>根据自治区公务用车制度改革方案相关规定核定我队本级保留的公务用车编制为15辆，实有车辆2辆。其中:应急机要通信特殊业务用车1辆（越野车1辆），离退休人员生活用车1辆（11座金杯旅行车1辆）。</w:t>
      </w:r>
    </w:p>
    <w:p>
      <w:pPr>
        <w:pStyle w:val="6"/>
        <w:pageBreakBefore w:val="0"/>
        <w:kinsoku/>
        <w:overflowPunct/>
        <w:autoSpaceDE/>
        <w:autoSpaceDN/>
        <w:bidi w:val="0"/>
        <w:adjustRightInd w:val="0"/>
        <w:snapToGrid w:val="0"/>
        <w:spacing w:line="500" w:lineRule="exact"/>
        <w:rPr>
          <w:rFonts w:hint="eastAsia"/>
        </w:rPr>
      </w:pPr>
      <w:r>
        <w:rPr>
          <w:rFonts w:hint="eastAsia"/>
        </w:rPr>
        <w:t>十、预算项目绩效目标情况说明</w:t>
      </w:r>
    </w:p>
    <w:p>
      <w:pPr>
        <w:pageBreakBefore w:val="0"/>
        <w:kinsoku/>
        <w:overflowPunct/>
        <w:autoSpaceDE/>
        <w:autoSpaceDN/>
        <w:bidi w:val="0"/>
        <w:adjustRightInd w:val="0"/>
        <w:snapToGrid w:val="0"/>
        <w:spacing w:line="500" w:lineRule="exact"/>
        <w:rPr>
          <w:rFonts w:hint="eastAsia"/>
        </w:rPr>
      </w:pPr>
      <w:r>
        <w:rPr>
          <w:rFonts w:hint="eastAsia"/>
        </w:rPr>
        <w:t>（一）我</w:t>
      </w:r>
      <w:r>
        <w:rPr>
          <w:rFonts w:hint="eastAsia"/>
          <w:lang w:val="en-US" w:eastAsia="zh-CN"/>
        </w:rPr>
        <w:t>单位</w:t>
      </w:r>
      <w:r>
        <w:rPr>
          <w:rFonts w:hint="eastAsia"/>
        </w:rPr>
        <w:t>2026年部门预算所有项目支出全面实施绩效目标管理，涉及自治区本级项目</w:t>
      </w:r>
      <w:r>
        <w:rPr>
          <w:rFonts w:hint="eastAsia"/>
          <w:lang w:val="en-US" w:eastAsia="zh-CN"/>
        </w:rPr>
        <w:t>5</w:t>
      </w:r>
      <w:r>
        <w:rPr>
          <w:rFonts w:hint="eastAsia"/>
        </w:rPr>
        <w:t>个，预算资金2457</w:t>
      </w:r>
      <w:r>
        <w:rPr>
          <w:rFonts w:hint="eastAsia"/>
          <w:lang w:val="en-US" w:eastAsia="zh-CN"/>
        </w:rPr>
        <w:t>.</w:t>
      </w:r>
      <w:r>
        <w:rPr>
          <w:rFonts w:hint="eastAsia"/>
        </w:rPr>
        <w:t>8</w:t>
      </w:r>
      <w:r>
        <w:rPr>
          <w:rFonts w:hint="eastAsia"/>
          <w:lang w:val="en-US" w:eastAsia="zh-CN"/>
        </w:rPr>
        <w:t>1</w:t>
      </w:r>
      <w:r>
        <w:rPr>
          <w:rFonts w:hint="eastAsia"/>
        </w:rPr>
        <w:t>万元；其中：一般公共预算拨款</w:t>
      </w:r>
      <w:r>
        <w:rPr>
          <w:rFonts w:hint="eastAsia"/>
          <w:lang w:val="en-US" w:eastAsia="zh-CN"/>
        </w:rPr>
        <w:t>753.23</w:t>
      </w:r>
      <w:r>
        <w:rPr>
          <w:rFonts w:hint="eastAsia"/>
        </w:rPr>
        <w:t>万元，单位资金1704</w:t>
      </w:r>
      <w:r>
        <w:rPr>
          <w:rFonts w:hint="eastAsia"/>
          <w:lang w:val="en-US" w:eastAsia="zh-CN"/>
        </w:rPr>
        <w:t>.58</w:t>
      </w:r>
      <w:r>
        <w:rPr>
          <w:rFonts w:hint="eastAsia"/>
        </w:rPr>
        <w:t>万元。相关绩效目标情况详见部门预算公开表10表。</w:t>
      </w:r>
    </w:p>
    <w:p>
      <w:pPr>
        <w:pageBreakBefore w:val="0"/>
        <w:kinsoku/>
        <w:overflowPunct/>
        <w:autoSpaceDE/>
        <w:autoSpaceDN/>
        <w:bidi w:val="0"/>
        <w:adjustRightInd w:val="0"/>
        <w:snapToGrid w:val="0"/>
        <w:spacing w:line="500" w:lineRule="exact"/>
        <w:rPr>
          <w:rFonts w:hint="eastAsia" w:ascii="仿宋_GB2312" w:hAnsi="宋体" w:eastAsia="仿宋_GB2312"/>
          <w:sz w:val="32"/>
          <w:szCs w:val="32"/>
        </w:rPr>
      </w:pPr>
      <w:r>
        <w:rPr>
          <w:rFonts w:hint="eastAsia" w:eastAsia="仿宋_GB2312"/>
          <w:sz w:val="32"/>
          <w:szCs w:val="32"/>
        </w:rPr>
        <w:t>（二）</w:t>
      </w:r>
      <w:r>
        <w:rPr>
          <w:rFonts w:hint="eastAsia" w:ascii="仿宋_GB2312" w:hAnsi="宋体" w:eastAsia="仿宋_GB2312"/>
          <w:sz w:val="32"/>
          <w:szCs w:val="32"/>
        </w:rPr>
        <w:t>重点项目预算绩效目标说明。</w:t>
      </w:r>
    </w:p>
    <w:tbl>
      <w:tblPr>
        <w:tblStyle w:val="7"/>
        <w:tblW w:w="8823" w:type="dxa"/>
        <w:jc w:val="center"/>
        <w:tblLayout w:type="autofit"/>
        <w:tblCellMar>
          <w:top w:w="0" w:type="dxa"/>
          <w:left w:w="0" w:type="dxa"/>
          <w:bottom w:w="0" w:type="dxa"/>
          <w:right w:w="0" w:type="dxa"/>
        </w:tblCellMar>
      </w:tblPr>
      <w:tblGrid>
        <w:gridCol w:w="1969"/>
        <w:gridCol w:w="1943"/>
        <w:gridCol w:w="4911"/>
      </w:tblGrid>
      <w:tr>
        <w:trPr>
          <w:trHeight w:val="288" w:hRule="atLeast"/>
          <w:jc w:val="center"/>
        </w:trPr>
        <w:tc>
          <w:tcPr>
            <w:tcW w:w="196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宋体" w:asciiTheme="minorEastAsia" w:hAnsiTheme="minorEastAsia" w:cstheme="minorEastAsia"/>
                <w:color w:val="000000"/>
                <w:sz w:val="24"/>
                <w:szCs w:val="18"/>
              </w:rPr>
            </w:pPr>
            <w:r>
              <w:rPr>
                <w:rFonts w:hint="eastAsia" w:eastAsia="宋体" w:asciiTheme="minorEastAsia" w:hAnsiTheme="minorEastAsia" w:cstheme="minorEastAsia"/>
                <w:color w:val="000000"/>
                <w:kern w:val="0"/>
                <w:sz w:val="24"/>
                <w:szCs w:val="18"/>
                <w:lang w:bidi="ar"/>
              </w:rPr>
              <w:t>项目名称</w:t>
            </w:r>
          </w:p>
        </w:tc>
        <w:tc>
          <w:tcPr>
            <w:tcW w:w="194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宋体" w:asciiTheme="minorEastAsia" w:hAnsiTheme="minorEastAsia" w:cstheme="minorEastAsia"/>
                <w:color w:val="000000"/>
                <w:sz w:val="24"/>
                <w:szCs w:val="18"/>
              </w:rPr>
            </w:pPr>
            <w:r>
              <w:rPr>
                <w:rFonts w:hint="eastAsia" w:eastAsia="宋体" w:asciiTheme="minorEastAsia" w:hAnsiTheme="minorEastAsia" w:cstheme="minorEastAsia"/>
                <w:color w:val="000000"/>
                <w:kern w:val="0"/>
                <w:sz w:val="24"/>
                <w:szCs w:val="18"/>
                <w:lang w:bidi="ar"/>
              </w:rPr>
              <w:t>预算金额（万元）</w:t>
            </w:r>
          </w:p>
        </w:tc>
        <w:tc>
          <w:tcPr>
            <w:tcW w:w="491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宋体" w:asciiTheme="minorEastAsia" w:hAnsiTheme="minorEastAsia" w:cstheme="minorEastAsia"/>
                <w:color w:val="000000"/>
                <w:sz w:val="24"/>
                <w:szCs w:val="18"/>
              </w:rPr>
            </w:pPr>
            <w:r>
              <w:rPr>
                <w:rFonts w:hint="eastAsia" w:eastAsia="宋体" w:asciiTheme="minorEastAsia" w:hAnsiTheme="minorEastAsia" w:cstheme="minorEastAsia"/>
                <w:color w:val="000000"/>
                <w:kern w:val="0"/>
                <w:sz w:val="24"/>
                <w:szCs w:val="28"/>
                <w:lang w:bidi="ar"/>
              </w:rPr>
              <w:t>年度绩效目标</w:t>
            </w:r>
          </w:p>
        </w:tc>
      </w:tr>
      <w:tr>
        <w:tblPrEx>
          <w:tblCellMar>
            <w:top w:w="0" w:type="dxa"/>
            <w:left w:w="0" w:type="dxa"/>
            <w:bottom w:w="0" w:type="dxa"/>
            <w:right w:w="0" w:type="dxa"/>
          </w:tblCellMar>
        </w:tblPrEx>
        <w:trPr>
          <w:trHeight w:val="288" w:hRule="atLeast"/>
          <w:jc w:val="center"/>
        </w:trPr>
        <w:tc>
          <w:tcPr>
            <w:tcW w:w="196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rPr>
                <w:rFonts w:hint="eastAsia" w:eastAsia="宋体" w:asciiTheme="minorEastAsia" w:hAnsiTheme="minorEastAsia" w:cstheme="minorEastAsia"/>
                <w:color w:val="000000"/>
                <w:sz w:val="24"/>
                <w:szCs w:val="18"/>
              </w:rPr>
            </w:pPr>
          </w:p>
        </w:tc>
        <w:tc>
          <w:tcPr>
            <w:tcW w:w="194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rPr>
                <w:rFonts w:hint="eastAsia" w:eastAsia="宋体" w:asciiTheme="minorEastAsia" w:hAnsiTheme="minorEastAsia" w:cstheme="minorEastAsia"/>
                <w:color w:val="000000"/>
                <w:sz w:val="24"/>
                <w:szCs w:val="18"/>
              </w:rPr>
            </w:pPr>
          </w:p>
        </w:tc>
        <w:tc>
          <w:tcPr>
            <w:tcW w:w="491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rPr>
                <w:rFonts w:hint="eastAsia" w:eastAsia="宋体" w:asciiTheme="minorEastAsia" w:hAnsiTheme="minorEastAsia" w:cstheme="minorEastAsia"/>
                <w:color w:val="000000"/>
                <w:sz w:val="24"/>
                <w:szCs w:val="18"/>
              </w:rPr>
            </w:pPr>
          </w:p>
        </w:tc>
      </w:tr>
      <w:tr>
        <w:tblPrEx>
          <w:tblCellMar>
            <w:top w:w="0" w:type="dxa"/>
            <w:left w:w="0" w:type="dxa"/>
            <w:bottom w:w="0" w:type="dxa"/>
            <w:right w:w="0" w:type="dxa"/>
          </w:tblCellMar>
        </w:tblPrEx>
        <w:trPr>
          <w:trHeight w:val="863" w:hRule="atLeast"/>
          <w:jc w:val="center"/>
        </w:trPr>
        <w:tc>
          <w:tcPr>
            <w:tcW w:w="19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eastAsia="宋体" w:asciiTheme="minorEastAsia" w:hAnsiTheme="minorEastAsia" w:cstheme="minorEastAsia"/>
                <w:color w:val="000000"/>
                <w:sz w:val="24"/>
                <w:szCs w:val="18"/>
              </w:rPr>
            </w:pPr>
            <w:r>
              <w:rPr>
                <w:rFonts w:hint="eastAsia" w:eastAsia="宋体" w:asciiTheme="minorEastAsia" w:hAnsiTheme="minorEastAsia" w:cstheme="minorEastAsia"/>
                <w:color w:val="000000"/>
                <w:sz w:val="24"/>
                <w:szCs w:val="18"/>
              </w:rPr>
              <w:t>地质矿产勘查项目经费</w:t>
            </w:r>
          </w:p>
        </w:tc>
        <w:tc>
          <w:tcPr>
            <w:tcW w:w="19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default" w:eastAsia="宋体"/>
                <w:sz w:val="24"/>
                <w:lang w:val="en-US" w:eastAsia="zh-CN"/>
              </w:rPr>
            </w:pPr>
            <w:r>
              <w:rPr>
                <w:rFonts w:hint="eastAsia" w:eastAsia="宋体" w:asciiTheme="minorEastAsia" w:hAnsiTheme="minorEastAsia" w:cstheme="minorEastAsia"/>
                <w:i w:val="0"/>
                <w:iCs w:val="0"/>
                <w:color w:val="000000"/>
                <w:kern w:val="0"/>
                <w:sz w:val="24"/>
                <w:szCs w:val="18"/>
                <w:u w:val="none"/>
                <w:lang w:val="en-US" w:eastAsia="zh-CN" w:bidi="ar"/>
              </w:rPr>
              <w:t>100.00</w:t>
            </w:r>
          </w:p>
        </w:tc>
        <w:tc>
          <w:tcPr>
            <w:tcW w:w="49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320" w:lineRule="exact"/>
              <w:ind w:firstLine="0" w:firstLineChars="0"/>
              <w:jc w:val="left"/>
              <w:textAlignment w:val="center"/>
              <w:rPr>
                <w:rFonts w:hint="eastAsia" w:eastAsia="宋体" w:asciiTheme="minorEastAsia" w:hAnsiTheme="minorEastAsia" w:cstheme="minorEastAsia"/>
                <w:i w:val="0"/>
                <w:iCs w:val="0"/>
                <w:color w:val="000000"/>
                <w:kern w:val="0"/>
                <w:sz w:val="24"/>
                <w:szCs w:val="18"/>
                <w:u w:val="none"/>
                <w:lang w:val="en-US" w:eastAsia="zh-CN" w:bidi="ar"/>
              </w:rPr>
            </w:pPr>
            <w:r>
              <w:rPr>
                <w:rFonts w:hint="eastAsia" w:eastAsia="宋体" w:asciiTheme="minorEastAsia" w:hAnsiTheme="minorEastAsia" w:cstheme="minorEastAsia"/>
                <w:i w:val="0"/>
                <w:iCs w:val="0"/>
                <w:color w:val="000000"/>
                <w:kern w:val="0"/>
                <w:sz w:val="24"/>
                <w:szCs w:val="18"/>
                <w:u w:val="none"/>
                <w:lang w:val="en-US" w:eastAsia="zh-CN" w:bidi="ar"/>
              </w:rPr>
              <w:t>通过系统的地质勘查工作，完成1：10000地形测绘、1：25000地质草测、1：1000地质剖面测量，完成槽探2400立方米、基本分析样150件，预期提交可供进一步地质勘查金矿体1-2个，形成矿产资源开发后备基地，为自治区经济社会发展提供有力的资源保障和产业支撑；</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320" w:lineRule="exact"/>
              <w:ind w:firstLine="0" w:firstLineChars="0"/>
              <w:jc w:val="left"/>
              <w:textAlignment w:val="center"/>
              <w:rPr>
                <w:rFonts w:hint="eastAsia" w:eastAsia="宋体" w:asciiTheme="minorEastAsia" w:hAnsiTheme="minorEastAsia" w:cstheme="minorEastAsia"/>
                <w:i w:val="0"/>
                <w:iCs w:val="0"/>
                <w:color w:val="000000"/>
                <w:kern w:val="2"/>
                <w:sz w:val="24"/>
                <w:szCs w:val="18"/>
                <w:u w:val="none"/>
                <w:lang w:val="en-US" w:eastAsia="zh-CN" w:bidi="ar-SA"/>
              </w:rPr>
            </w:pPr>
            <w:r>
              <w:rPr>
                <w:rFonts w:hint="eastAsia" w:eastAsia="宋体" w:asciiTheme="minorEastAsia" w:hAnsiTheme="minorEastAsia" w:cstheme="minorEastAsia"/>
                <w:i w:val="0"/>
                <w:iCs w:val="0"/>
                <w:color w:val="000000"/>
                <w:kern w:val="0"/>
                <w:sz w:val="24"/>
                <w:szCs w:val="18"/>
                <w:u w:val="none"/>
                <w:lang w:val="en-US" w:eastAsia="zh-CN" w:bidi="ar"/>
              </w:rPr>
              <w:t>通过完成流域岩溶地质和水文地质调查、土壤和水样等样品测试及多途径地下水示踪试验等工作，2026年预计建立广西岩溶峰丛山区不同矿山损毁土地的自然修复技术示范区1个，有效推动岩溶矿山生态修复技术发展，并为大规模工程化应用提供科学支撑。</w:t>
            </w:r>
          </w:p>
        </w:tc>
      </w:tr>
    </w:tbl>
    <w:p>
      <w:pPr>
        <w:pageBreakBefore w:val="0"/>
        <w:kinsoku/>
        <w:overflowPunct/>
        <w:autoSpaceDE/>
        <w:autoSpaceDN/>
        <w:bidi w:val="0"/>
        <w:adjustRightInd w:val="0"/>
        <w:snapToGrid w:val="0"/>
        <w:spacing w:line="500" w:lineRule="exact"/>
        <w:rPr>
          <w:rFonts w:hint="eastAsia" w:ascii="仿宋_GB2312" w:hAnsi="宋体" w:eastAsia="仿宋_GB2312"/>
          <w:sz w:val="32"/>
          <w:szCs w:val="32"/>
        </w:rPr>
      </w:pPr>
    </w:p>
    <w:p>
      <w:pPr>
        <w:pStyle w:val="5"/>
        <w:pageBreakBefore w:val="0"/>
        <w:kinsoku/>
        <w:overflowPunct/>
        <w:autoSpaceDE/>
        <w:autoSpaceDN/>
        <w:bidi w:val="0"/>
        <w:adjustRightInd w:val="0"/>
        <w:snapToGrid w:val="0"/>
        <w:spacing w:line="500" w:lineRule="exact"/>
        <w:rPr>
          <w:rFonts w:hint="eastAsia" w:ascii="黑体" w:eastAsia="黑体"/>
          <w:szCs w:val="32"/>
        </w:rPr>
      </w:pPr>
      <w:r>
        <w:rPr>
          <w:rFonts w:hint="eastAsia"/>
        </w:rPr>
        <w:t>第三部分：名词解释</w:t>
      </w:r>
    </w:p>
    <w:p>
      <w:pPr>
        <w:pStyle w:val="6"/>
        <w:pageBreakBefore w:val="0"/>
        <w:kinsoku/>
        <w:overflowPunct/>
        <w:autoSpaceDE/>
        <w:autoSpaceDN/>
        <w:bidi w:val="0"/>
        <w:adjustRightInd w:val="0"/>
        <w:snapToGrid w:val="0"/>
        <w:spacing w:line="500" w:lineRule="exact"/>
        <w:rPr>
          <w:rFonts w:hint="eastAsia"/>
        </w:rPr>
      </w:pPr>
      <w:r>
        <w:rPr>
          <w:rFonts w:hint="eastAsia"/>
        </w:rPr>
        <w:t>一、收入类</w:t>
      </w:r>
    </w:p>
    <w:p>
      <w:pPr>
        <w:pageBreakBefore w:val="0"/>
        <w:kinsoku/>
        <w:overflowPunct/>
        <w:autoSpaceDE/>
        <w:autoSpaceDN/>
        <w:bidi w:val="0"/>
        <w:adjustRightInd w:val="0"/>
        <w:snapToGrid w:val="0"/>
        <w:spacing w:line="500" w:lineRule="exact"/>
        <w:rPr>
          <w:rFonts w:hint="eastAsia"/>
        </w:rPr>
      </w:pPr>
      <w:r>
        <w:rPr>
          <w:rFonts w:hint="eastAsia"/>
        </w:rPr>
        <w:t>（一）财政拨款收入：指自治区财政部门当年拨付的资金。</w:t>
      </w:r>
    </w:p>
    <w:p>
      <w:pPr>
        <w:pageBreakBefore w:val="0"/>
        <w:kinsoku/>
        <w:overflowPunct/>
        <w:autoSpaceDE/>
        <w:autoSpaceDN/>
        <w:bidi w:val="0"/>
        <w:adjustRightInd w:val="0"/>
        <w:snapToGrid w:val="0"/>
        <w:spacing w:line="500" w:lineRule="exact"/>
        <w:rPr>
          <w:rFonts w:hint="eastAsia"/>
        </w:rPr>
      </w:pPr>
      <w:r>
        <w:rPr>
          <w:rFonts w:hint="eastAsia"/>
        </w:rPr>
        <w:t>（二）事业收入：指事业单位开展专业业务活动及辅助活动取得的收入。</w:t>
      </w:r>
    </w:p>
    <w:p>
      <w:pPr>
        <w:pageBreakBefore w:val="0"/>
        <w:kinsoku/>
        <w:overflowPunct/>
        <w:autoSpaceDE/>
        <w:autoSpaceDN/>
        <w:bidi w:val="0"/>
        <w:adjustRightInd w:val="0"/>
        <w:snapToGrid w:val="0"/>
        <w:spacing w:line="500" w:lineRule="exact"/>
        <w:rPr>
          <w:rFonts w:hint="eastAsia"/>
        </w:rPr>
      </w:pPr>
      <w:r>
        <w:rPr>
          <w:rFonts w:hint="eastAsia"/>
        </w:rPr>
        <w:t>（三）事业单位经营收入：指事业单位在专业业务活动及其辅助活动之外开展非独立核算经营活动取得的收入。</w:t>
      </w:r>
    </w:p>
    <w:p>
      <w:pPr>
        <w:pageBreakBefore w:val="0"/>
        <w:kinsoku/>
        <w:overflowPunct/>
        <w:autoSpaceDE/>
        <w:autoSpaceDN/>
        <w:bidi w:val="0"/>
        <w:adjustRightInd w:val="0"/>
        <w:snapToGrid w:val="0"/>
        <w:spacing w:line="500" w:lineRule="exact"/>
        <w:rPr>
          <w:rFonts w:hint="eastAsia"/>
        </w:rPr>
      </w:pPr>
      <w:r>
        <w:rPr>
          <w:rFonts w:hint="eastAsia"/>
        </w:rPr>
        <w:t>（四）其他收入：指除上述“财政拨款收入”、“事业收入”、“事业单位经营收入”等以外的收入。</w:t>
      </w:r>
    </w:p>
    <w:p>
      <w:pPr>
        <w:pageBreakBefore w:val="0"/>
        <w:kinsoku/>
        <w:overflowPunct/>
        <w:autoSpaceDE/>
        <w:autoSpaceDN/>
        <w:bidi w:val="0"/>
        <w:adjustRightInd w:val="0"/>
        <w:snapToGrid w:val="0"/>
        <w:spacing w:line="500" w:lineRule="exact"/>
        <w:rPr>
          <w:rFonts w:hint="eastAsia"/>
        </w:rPr>
      </w:pPr>
      <w:r>
        <w:rPr>
          <w:rFonts w:hint="eastAsia"/>
        </w:rPr>
        <w:t>（五）上年结转和结余：指以前年度尚未完成、结转到本年按有关规定继续使用的资金。</w:t>
      </w:r>
    </w:p>
    <w:p>
      <w:pPr>
        <w:pStyle w:val="6"/>
        <w:pageBreakBefore w:val="0"/>
        <w:kinsoku/>
        <w:overflowPunct/>
        <w:autoSpaceDE/>
        <w:autoSpaceDN/>
        <w:bidi w:val="0"/>
        <w:adjustRightInd w:val="0"/>
        <w:snapToGrid w:val="0"/>
        <w:spacing w:line="500" w:lineRule="exact"/>
        <w:rPr>
          <w:rFonts w:hint="eastAsia"/>
        </w:rPr>
      </w:pPr>
      <w:r>
        <w:rPr>
          <w:rFonts w:hint="eastAsia"/>
        </w:rPr>
        <w:t>二、支出类</w:t>
      </w:r>
    </w:p>
    <w:p>
      <w:pPr>
        <w:pageBreakBefore w:val="0"/>
        <w:kinsoku/>
        <w:overflowPunct/>
        <w:autoSpaceDE/>
        <w:autoSpaceDN/>
        <w:bidi w:val="0"/>
        <w:adjustRightInd w:val="0"/>
        <w:snapToGrid w:val="0"/>
        <w:spacing w:line="500" w:lineRule="exact"/>
        <w:rPr>
          <w:rFonts w:hint="eastAsia"/>
        </w:rPr>
      </w:pPr>
      <w:r>
        <w:rPr>
          <w:rFonts w:hint="eastAsia"/>
        </w:rPr>
        <w:t>（一）资源勘探工业信息等支出：指用于资源勘探、制造业、建筑业、工业信息等方面支出。</w:t>
      </w:r>
    </w:p>
    <w:p>
      <w:pPr>
        <w:pageBreakBefore w:val="0"/>
        <w:kinsoku/>
        <w:overflowPunct/>
        <w:autoSpaceDE/>
        <w:autoSpaceDN/>
        <w:bidi w:val="0"/>
        <w:adjustRightInd w:val="0"/>
        <w:snapToGrid w:val="0"/>
        <w:spacing w:line="500" w:lineRule="exact"/>
        <w:rPr>
          <w:rFonts w:hint="eastAsia"/>
        </w:rPr>
      </w:pPr>
      <w:r>
        <w:rPr>
          <w:rFonts w:hint="eastAsia"/>
        </w:rPr>
        <w:t>（二）资源勘探工业信息等支出（类）资源勘探开发（款）其他资源勘探业支出（项）：指其他用于资源勘探业方面的支出。</w:t>
      </w:r>
    </w:p>
    <w:p>
      <w:pPr>
        <w:pageBreakBefore w:val="0"/>
        <w:kinsoku/>
        <w:overflowPunct/>
        <w:autoSpaceDE/>
        <w:autoSpaceDN/>
        <w:bidi w:val="0"/>
        <w:adjustRightInd w:val="0"/>
        <w:snapToGrid w:val="0"/>
        <w:spacing w:line="500" w:lineRule="exact"/>
        <w:rPr>
          <w:rFonts w:hint="eastAsia"/>
        </w:rPr>
      </w:pPr>
      <w:r>
        <w:rPr>
          <w:rFonts w:hint="eastAsia"/>
        </w:rPr>
        <w:t>（三）基本支出：指为保障机构正常运转、完成日常工作任务而发生的人员支出和公用支出。</w:t>
      </w:r>
    </w:p>
    <w:p>
      <w:pPr>
        <w:pageBreakBefore w:val="0"/>
        <w:kinsoku/>
        <w:overflowPunct/>
        <w:autoSpaceDE/>
        <w:autoSpaceDN/>
        <w:bidi w:val="0"/>
        <w:adjustRightInd w:val="0"/>
        <w:snapToGrid w:val="0"/>
        <w:spacing w:line="500" w:lineRule="exact"/>
        <w:rPr>
          <w:rFonts w:hint="eastAsia"/>
        </w:rPr>
      </w:pPr>
      <w:r>
        <w:rPr>
          <w:rFonts w:hint="eastAsia"/>
        </w:rPr>
        <w:t>（四）项目支出：指在基本支出之外为完成特定行政任务和事业发展目标所发生的支出。</w:t>
      </w:r>
    </w:p>
    <w:p>
      <w:pPr>
        <w:pageBreakBefore w:val="0"/>
        <w:kinsoku/>
        <w:overflowPunct/>
        <w:autoSpaceDE/>
        <w:autoSpaceDN/>
        <w:bidi w:val="0"/>
        <w:adjustRightInd w:val="0"/>
        <w:snapToGrid w:val="0"/>
        <w:spacing w:line="500" w:lineRule="exact"/>
        <w:rPr>
          <w:rFonts w:hint="eastAsia"/>
        </w:rPr>
      </w:pPr>
      <w:r>
        <w:rPr>
          <w:rFonts w:hint="eastAsia"/>
        </w:rPr>
        <w:t>（五）事业单位相关运行经费：为保障</w:t>
      </w:r>
      <w:r>
        <w:rPr>
          <w:rFonts w:hint="eastAsia"/>
          <w:lang w:val="en-US" w:eastAsia="zh-CN"/>
        </w:rPr>
        <w:t>事业单位</w:t>
      </w:r>
      <w:r>
        <w:rPr>
          <w:rFonts w:hint="eastAsia"/>
        </w:rPr>
        <w:t>运行用于购买货物和服务的各项资金，包括办公及印刷费、邮电费、差旅费、会议费、日常维修费、专用材料及一般设备购置费、办公用房水电费、公务用车运行维护费以及其他费用。</w:t>
      </w:r>
    </w:p>
    <w:p>
      <w:pPr>
        <w:pageBreakBefore w:val="0"/>
        <w:kinsoku/>
        <w:overflowPunct/>
        <w:autoSpaceDE/>
        <w:autoSpaceDN/>
        <w:bidi w:val="0"/>
        <w:adjustRightInd w:val="0"/>
        <w:snapToGrid w:val="0"/>
        <w:spacing w:line="500" w:lineRule="exact"/>
        <w:rPr>
          <w:rFonts w:hint="eastAsia"/>
        </w:rPr>
      </w:pPr>
    </w:p>
    <w:p>
      <w:pPr>
        <w:pStyle w:val="5"/>
        <w:pageBreakBefore w:val="0"/>
        <w:kinsoku/>
        <w:overflowPunct/>
        <w:autoSpaceDE/>
        <w:autoSpaceDN/>
        <w:bidi w:val="0"/>
        <w:adjustRightInd w:val="0"/>
        <w:snapToGrid w:val="0"/>
        <w:spacing w:line="500" w:lineRule="exact"/>
        <w:rPr>
          <w:rFonts w:hint="eastAsia" w:ascii="黑体" w:eastAsia="黑体"/>
          <w:szCs w:val="32"/>
        </w:rPr>
      </w:pPr>
      <w:r>
        <w:rPr>
          <w:rFonts w:hint="eastAsia"/>
        </w:rPr>
        <w:t>第四部分：广西壮族自治区二七二地质队2026年单位预算报表</w:t>
      </w:r>
    </w:p>
    <w:p>
      <w:pPr>
        <w:pageBreakBefore w:val="0"/>
        <w:kinsoku/>
        <w:overflowPunct/>
        <w:autoSpaceDE/>
        <w:autoSpaceDN/>
        <w:bidi w:val="0"/>
        <w:adjustRightInd w:val="0"/>
        <w:snapToGrid w:val="0"/>
        <w:spacing w:line="500" w:lineRule="exact"/>
        <w:rPr>
          <w:rFonts w:hint="eastAsia"/>
        </w:rPr>
      </w:pPr>
      <w:r>
        <w:rPr>
          <w:rFonts w:hint="eastAsia"/>
        </w:rPr>
        <w:t>表一：单位收支总体情况表</w:t>
      </w:r>
    </w:p>
    <w:p>
      <w:pPr>
        <w:pageBreakBefore w:val="0"/>
        <w:kinsoku/>
        <w:overflowPunct/>
        <w:autoSpaceDE/>
        <w:autoSpaceDN/>
        <w:bidi w:val="0"/>
        <w:adjustRightInd w:val="0"/>
        <w:snapToGrid w:val="0"/>
        <w:spacing w:line="500" w:lineRule="exact"/>
        <w:rPr>
          <w:rFonts w:hint="eastAsia"/>
        </w:rPr>
      </w:pPr>
      <w:r>
        <w:rPr>
          <w:rFonts w:hint="eastAsia"/>
        </w:rPr>
        <w:t>表二：单位收入总体情况表</w:t>
      </w:r>
    </w:p>
    <w:p>
      <w:pPr>
        <w:pageBreakBefore w:val="0"/>
        <w:kinsoku/>
        <w:overflowPunct/>
        <w:autoSpaceDE/>
        <w:autoSpaceDN/>
        <w:bidi w:val="0"/>
        <w:adjustRightInd w:val="0"/>
        <w:snapToGrid w:val="0"/>
        <w:spacing w:line="500" w:lineRule="exact"/>
        <w:rPr>
          <w:rFonts w:hint="eastAsia"/>
        </w:rPr>
      </w:pPr>
      <w:r>
        <w:rPr>
          <w:rFonts w:hint="eastAsia"/>
        </w:rPr>
        <w:t>表三：单位支出总体情况表</w:t>
      </w:r>
    </w:p>
    <w:p>
      <w:pPr>
        <w:pageBreakBefore w:val="0"/>
        <w:kinsoku/>
        <w:overflowPunct/>
        <w:autoSpaceDE/>
        <w:autoSpaceDN/>
        <w:bidi w:val="0"/>
        <w:adjustRightInd w:val="0"/>
        <w:snapToGrid w:val="0"/>
        <w:spacing w:line="500" w:lineRule="exact"/>
        <w:rPr>
          <w:rFonts w:hint="eastAsia"/>
        </w:rPr>
      </w:pPr>
      <w:r>
        <w:rPr>
          <w:rFonts w:hint="eastAsia"/>
        </w:rPr>
        <w:t>表四：财政拨款收支总体情况表</w:t>
      </w:r>
    </w:p>
    <w:p>
      <w:pPr>
        <w:pageBreakBefore w:val="0"/>
        <w:kinsoku/>
        <w:overflowPunct/>
        <w:autoSpaceDE/>
        <w:autoSpaceDN/>
        <w:bidi w:val="0"/>
        <w:adjustRightInd w:val="0"/>
        <w:snapToGrid w:val="0"/>
        <w:spacing w:line="500" w:lineRule="exact"/>
        <w:rPr>
          <w:rFonts w:hint="eastAsia"/>
        </w:rPr>
      </w:pPr>
      <w:r>
        <w:rPr>
          <w:rFonts w:hint="eastAsia"/>
        </w:rPr>
        <w:t>表五：一般公共预算支出情况表</w:t>
      </w:r>
    </w:p>
    <w:p>
      <w:pPr>
        <w:pageBreakBefore w:val="0"/>
        <w:kinsoku/>
        <w:overflowPunct/>
        <w:autoSpaceDE/>
        <w:autoSpaceDN/>
        <w:bidi w:val="0"/>
        <w:adjustRightInd w:val="0"/>
        <w:snapToGrid w:val="0"/>
        <w:spacing w:line="500" w:lineRule="exact"/>
        <w:rPr>
          <w:rFonts w:hint="eastAsia"/>
        </w:rPr>
      </w:pPr>
      <w:r>
        <w:rPr>
          <w:rFonts w:hint="eastAsia"/>
        </w:rPr>
        <w:t>表六：一般公共预算基本支出情况表</w:t>
      </w:r>
    </w:p>
    <w:p>
      <w:pPr>
        <w:keepNext w:val="0"/>
        <w:keepLines w:val="0"/>
        <w:pageBreakBefore w:val="0"/>
        <w:widowControl w:val="0"/>
        <w:kinsoku/>
        <w:wordWrap/>
        <w:overflowPunct/>
        <w:topLinePunct w:val="0"/>
        <w:autoSpaceDE/>
        <w:autoSpaceDN/>
        <w:bidi w:val="0"/>
        <w:adjustRightInd w:val="0"/>
        <w:snapToGrid w:val="0"/>
        <w:spacing w:line="500" w:lineRule="exact"/>
        <w:ind w:right="-327" w:rightChars="-100"/>
        <w:textAlignment w:val="auto"/>
        <w:rPr>
          <w:rFonts w:hint="eastAsia"/>
        </w:rPr>
      </w:pPr>
      <w:r>
        <w:rPr>
          <w:rFonts w:hint="eastAsia"/>
        </w:rPr>
        <w:t>表七：财政拨款“三公”经费、会议费和培训费支出情况表</w:t>
      </w:r>
    </w:p>
    <w:p>
      <w:pPr>
        <w:pageBreakBefore w:val="0"/>
        <w:kinsoku/>
        <w:overflowPunct/>
        <w:autoSpaceDE/>
        <w:autoSpaceDN/>
        <w:bidi w:val="0"/>
        <w:adjustRightInd w:val="0"/>
        <w:snapToGrid w:val="0"/>
        <w:spacing w:line="500" w:lineRule="exact"/>
        <w:rPr>
          <w:rFonts w:hint="eastAsia"/>
        </w:rPr>
      </w:pPr>
      <w:r>
        <w:rPr>
          <w:rFonts w:hint="eastAsia"/>
        </w:rPr>
        <w:t>表八：政府性基金预算支出情况表</w:t>
      </w:r>
    </w:p>
    <w:p>
      <w:pPr>
        <w:pageBreakBefore w:val="0"/>
        <w:kinsoku/>
        <w:overflowPunct/>
        <w:autoSpaceDE/>
        <w:autoSpaceDN/>
        <w:bidi w:val="0"/>
        <w:adjustRightInd w:val="0"/>
        <w:snapToGrid w:val="0"/>
        <w:spacing w:line="500" w:lineRule="exact"/>
        <w:rPr>
          <w:rFonts w:hint="eastAsia"/>
        </w:rPr>
      </w:pPr>
      <w:r>
        <w:rPr>
          <w:rFonts w:hint="eastAsia"/>
        </w:rPr>
        <w:t>表九：国有资本经营预算支出情况表</w:t>
      </w:r>
    </w:p>
    <w:p>
      <w:pPr>
        <w:pageBreakBefore w:val="0"/>
        <w:kinsoku/>
        <w:overflowPunct/>
        <w:autoSpaceDE/>
        <w:autoSpaceDN/>
        <w:bidi w:val="0"/>
        <w:adjustRightInd w:val="0"/>
        <w:snapToGrid w:val="0"/>
        <w:spacing w:line="500" w:lineRule="exact"/>
        <w:rPr>
          <w:rFonts w:hint="eastAsia"/>
        </w:rPr>
      </w:pPr>
      <w:r>
        <w:rPr>
          <w:rFonts w:hint="eastAsia"/>
        </w:rPr>
        <w:t>表十：项目绩效目标公开表</w:t>
      </w:r>
    </w:p>
    <w:p>
      <w:pPr>
        <w:pageBreakBefore w:val="0"/>
        <w:kinsoku/>
        <w:overflowPunct/>
        <w:autoSpaceDE/>
        <w:autoSpaceDN/>
        <w:bidi w:val="0"/>
        <w:adjustRightInd w:val="0"/>
        <w:snapToGrid w:val="0"/>
        <w:spacing w:line="500" w:lineRule="exact"/>
        <w:rPr>
          <w:rFonts w:hint="eastAsia"/>
        </w:rPr>
      </w:pPr>
      <w:r>
        <w:rPr>
          <w:rFonts w:hint="eastAsia"/>
        </w:rPr>
        <w:t>表十一：对下转移支付项目绩效目标公开表</w:t>
      </w:r>
    </w:p>
    <w:p>
      <w:pPr>
        <w:pageBreakBefore w:val="0"/>
        <w:tabs>
          <w:tab w:val="center" w:pos="4475"/>
        </w:tabs>
        <w:kinsoku/>
        <w:overflowPunct/>
        <w:autoSpaceDE/>
        <w:autoSpaceDN/>
        <w:bidi w:val="0"/>
        <w:adjustRightInd w:val="0"/>
        <w:snapToGrid w:val="0"/>
        <w:spacing w:line="500" w:lineRule="exact"/>
        <w:ind w:firstLine="636"/>
        <w:rPr>
          <w:rFonts w:hint="eastAsia" w:eastAsia="仿宋_GB2312"/>
          <w:sz w:val="32"/>
          <w:szCs w:val="32"/>
          <w:lang w:eastAsia="zh-CN"/>
        </w:rPr>
      </w:pPr>
      <w:r>
        <w:rPr>
          <w:rFonts w:hint="eastAsia"/>
          <w:sz w:val="32"/>
          <w:szCs w:val="32"/>
          <w:lang w:eastAsia="zh-CN"/>
        </w:rPr>
        <w:t>（</w:t>
      </w:r>
      <w:r>
        <w:rPr>
          <w:rFonts w:eastAsia="仿宋_GB2312"/>
          <w:sz w:val="32"/>
          <w:szCs w:val="32"/>
        </w:rPr>
        <w:t>上述报表详见附件</w:t>
      </w:r>
      <w:r>
        <w:rPr>
          <w:rFonts w:hint="eastAsia"/>
          <w:sz w:val="32"/>
          <w:szCs w:val="32"/>
          <w:lang w:eastAsia="zh-CN"/>
        </w:rPr>
        <w:t>）</w:t>
      </w:r>
    </w:p>
    <w:p/>
    <w:sectPr>
      <w:footerReference r:id="rId5" w:type="default"/>
      <w:footerReference r:id="rId6" w:type="even"/>
      <w:pgSz w:w="11906" w:h="16838"/>
      <w:pgMar w:top="2098" w:right="1474" w:bottom="1984" w:left="1587" w:header="851" w:footer="992" w:gutter="0"/>
      <w:pgNumType w:fmt="decimal" w:start="7"/>
      <w:cols w:space="720" w:num="1"/>
      <w:rtlGutter w:val="0"/>
      <w:docGrid w:type="linesAndChars" w:linePitch="607"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54"/>
      </w:pPr>
      <w:r>
        <w:separator/>
      </w:r>
    </w:p>
  </w:endnote>
  <w:endnote w:type="continuationSeparator" w:id="1">
    <w:p>
      <w:pPr>
        <w:spacing w:line="240" w:lineRule="auto"/>
        <w:ind w:firstLine="65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16"/>
        <w:tab w:val="right" w:pos="8306"/>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pPr>
    <w:r>
      <w:fldChar w:fldCharType="begin"/>
    </w:r>
    <w:r>
      <w:instrText xml:space="preserve">PAGE  </w:instrText>
    </w:r>
    <w:r>
      <w:fldChar w:fldCharType="end"/>
    </w:r>
  </w:p>
  <w:p>
    <w:pPr>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54"/>
      </w:pPr>
      <w:r>
        <w:separator/>
      </w:r>
    </w:p>
  </w:footnote>
  <w:footnote w:type="continuationSeparator" w:id="1">
    <w:p>
      <w:pPr>
        <w:spacing w:line="240" w:lineRule="auto"/>
        <w:ind w:firstLine="65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87FF46"/>
    <w:multiLevelType w:val="singleLevel"/>
    <w:tmpl w:val="F187FF4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51CCD"/>
    <w:rsid w:val="005501B3"/>
    <w:rsid w:val="02902A6D"/>
    <w:rsid w:val="0DED4CB4"/>
    <w:rsid w:val="118302E9"/>
    <w:rsid w:val="14970A82"/>
    <w:rsid w:val="1CB2691F"/>
    <w:rsid w:val="3BAE143F"/>
    <w:rsid w:val="3F051CCD"/>
    <w:rsid w:val="41FF259D"/>
    <w:rsid w:val="4E2109F5"/>
    <w:rsid w:val="4FC122E5"/>
    <w:rsid w:val="545B3758"/>
    <w:rsid w:val="5F9C6CE5"/>
    <w:rsid w:val="62481B92"/>
    <w:rsid w:val="63DD630A"/>
    <w:rsid w:val="6F6F387D"/>
    <w:rsid w:val="73614861"/>
    <w:rsid w:val="77033593"/>
    <w:rsid w:val="78175E36"/>
    <w:rsid w:val="7BD07F31"/>
    <w:rsid w:val="7F4F0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894"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val="0"/>
      <w:keepLines w:val="0"/>
      <w:wordWrap w:val="0"/>
      <w:topLinePunct/>
      <w:adjustRightInd w:val="0"/>
      <w:snapToGrid w:val="0"/>
      <w:spacing w:beforeLines="0" w:beforeAutospacing="0" w:afterLines="0" w:afterAutospacing="0" w:line="560" w:lineRule="exact"/>
      <w:ind w:right="0" w:rightChars="0" w:firstLine="894" w:firstLineChars="200"/>
      <w:outlineLvl w:val="0"/>
    </w:pPr>
    <w:rPr>
      <w:rFonts w:eastAsia="黑体"/>
      <w:b/>
      <w:kern w:val="44"/>
    </w:rPr>
  </w:style>
  <w:style w:type="paragraph" w:styleId="4">
    <w:name w:val="heading 2"/>
    <w:basedOn w:val="1"/>
    <w:next w:val="1"/>
    <w:unhideWhenUsed/>
    <w:qFormat/>
    <w:uiPriority w:val="0"/>
    <w:pPr>
      <w:keepNext w:val="0"/>
      <w:keepLines w:val="0"/>
      <w:topLinePunct/>
      <w:adjustRightInd w:val="0"/>
      <w:snapToGrid w:val="0"/>
      <w:spacing w:beforeLines="0" w:beforeAutospacing="0" w:afterLines="0" w:afterAutospacing="0" w:line="560" w:lineRule="exact"/>
      <w:ind w:right="-327" w:rightChars="-100" w:firstLine="894" w:firstLineChars="200"/>
      <w:outlineLvl w:val="1"/>
    </w:pPr>
    <w:rPr>
      <w:rFonts w:ascii="Arial" w:hAnsi="Arial" w:eastAsia="楷体_GB2312"/>
    </w:rPr>
  </w:style>
  <w:style w:type="paragraph" w:styleId="5">
    <w:name w:val="heading 3"/>
    <w:basedOn w:val="1"/>
    <w:next w:val="1"/>
    <w:unhideWhenUsed/>
    <w:qFormat/>
    <w:uiPriority w:val="0"/>
    <w:pPr>
      <w:keepNext w:val="0"/>
      <w:keepLines w:val="0"/>
      <w:topLinePunct/>
      <w:spacing w:beforeLines="0" w:beforeAutospacing="0" w:afterLines="0" w:afterAutospacing="0" w:line="560" w:lineRule="exact"/>
      <w:outlineLvl w:val="2"/>
    </w:pPr>
    <w:rPr>
      <w:rFonts w:eastAsia="黑体"/>
    </w:rPr>
  </w:style>
  <w:style w:type="paragraph" w:styleId="6">
    <w:name w:val="heading 4"/>
    <w:basedOn w:val="1"/>
    <w:next w:val="1"/>
    <w:unhideWhenUsed/>
    <w:qFormat/>
    <w:uiPriority w:val="0"/>
    <w:pPr>
      <w:keepNext w:val="0"/>
      <w:keepLines w:val="0"/>
      <w:topLinePunct/>
      <w:spacing w:beforeLines="0" w:beforeAutospacing="0" w:afterLines="0" w:afterAutospacing="0" w:line="560" w:lineRule="exact"/>
      <w:ind w:right="-327" w:rightChars="-100"/>
      <w:outlineLvl w:val="3"/>
    </w:pPr>
    <w:rPr>
      <w:rFonts w:ascii="Arial" w:hAnsi="Arial" w:eastAsia="楷体_GB231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1143</Words>
  <Characters>1154</Characters>
  <Lines>0</Lines>
  <Paragraphs>0</Paragraphs>
  <TotalTime>149</TotalTime>
  <ScaleCrop>false</ScaleCrop>
  <LinksUpToDate>false</LinksUpToDate>
  <CharactersWithSpaces>1156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2026-03-04T02:52:00Z</dcterms:created>
  <dc:creator>xiao.佩</dc:creator>
  <cp:lastModifiedBy>Administrator</cp:lastModifiedBy>
  <dcterms:modified xsi:type="dcterms:W3CDTF">2026-03-15T04:03:17Z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F200C62A00754ED48381FAEC4B1835DF_13</vt:lpwstr>
  </property>
  <property fmtid="{D5CDD505-2E9C-101B-9397-08002B2CF9AE}" pid="4" name="KSOTemplateDocerSaveRecord">
    <vt:lpwstr>eyJoZGlkIjoiZTUxOTg5MzU4MDE3OTkxNGVhYjNmOTE2ZDllYWExMTQiLCJ1c2VySWQiOiIyNjgxNjI0OTYifQ==</vt:lpwstr>
  </property>
</Properties>
</file>